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p>
    <w:p>
      <w:pPr>
        <w:jc w:val="center"/>
        <w:rPr>
          <w:rFonts w:ascii="仿宋_GB2312" w:eastAsia="仿宋_GB2312"/>
        </w:rPr>
      </w:pPr>
    </w:p>
    <w:p>
      <w:pPr>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竞争性</w:t>
      </w:r>
      <w:r>
        <w:rPr>
          <w:rFonts w:hint="eastAsia" w:asciiTheme="majorEastAsia" w:hAnsiTheme="majorEastAsia" w:eastAsiaTheme="majorEastAsia" w:cstheme="majorEastAsia"/>
          <w:b/>
          <w:sz w:val="72"/>
          <w:szCs w:val="72"/>
          <w:lang w:val="en-US" w:eastAsia="zh-CN"/>
        </w:rPr>
        <w:t>磋商</w:t>
      </w:r>
      <w:r>
        <w:rPr>
          <w:rFonts w:hint="eastAsia" w:asciiTheme="majorEastAsia" w:hAnsiTheme="majorEastAsia" w:eastAsiaTheme="majorEastAsia" w:cstheme="majorEastAsia"/>
          <w:b/>
          <w:sz w:val="72"/>
          <w:szCs w:val="72"/>
        </w:rPr>
        <w:t>文件</w:t>
      </w:r>
    </w:p>
    <w:p>
      <w:pPr>
        <w:jc w:val="center"/>
        <w:rPr>
          <w:rFonts w:asciiTheme="majorEastAsia" w:hAnsiTheme="majorEastAsia" w:eastAsiaTheme="majorEastAsia" w:cstheme="majorEastAsia"/>
          <w:sz w:val="72"/>
          <w:szCs w:val="72"/>
        </w:rPr>
      </w:pPr>
    </w:p>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rPr>
        <w:t xml:space="preserve"> 项目名称：</w:t>
      </w:r>
      <w:r>
        <w:rPr>
          <w:rFonts w:hint="eastAsia" w:asciiTheme="majorEastAsia" w:hAnsiTheme="majorEastAsia" w:eastAsiaTheme="majorEastAsia" w:cstheme="majorEastAsia"/>
          <w:b/>
          <w:sz w:val="36"/>
          <w:szCs w:val="36"/>
          <w:highlight w:val="none"/>
        </w:rPr>
        <w:t>四川省南宝山服饰有限公司</w:t>
      </w:r>
    </w:p>
    <w:p>
      <w:pPr>
        <w:jc w:val="center"/>
        <w:rPr>
          <w:rFonts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36"/>
          <w:szCs w:val="36"/>
          <w:highlight w:val="none"/>
          <w:lang w:val="en-US" w:eastAsia="zh-CN"/>
        </w:rPr>
        <w:t>2025年</w:t>
      </w:r>
      <w:r>
        <w:rPr>
          <w:rFonts w:hint="eastAsia" w:asciiTheme="majorEastAsia" w:hAnsiTheme="majorEastAsia" w:eastAsiaTheme="majorEastAsia" w:cstheme="majorEastAsia"/>
          <w:b/>
          <w:bCs/>
          <w:sz w:val="36"/>
          <w:szCs w:val="36"/>
          <w:highlight w:val="none"/>
        </w:rPr>
        <w:t>服装技术指导服务外包采购项目</w:t>
      </w:r>
    </w:p>
    <w:p>
      <w:pPr>
        <w:jc w:val="center"/>
        <w:rPr>
          <w:rFonts w:asciiTheme="majorEastAsia" w:hAnsiTheme="majorEastAsia" w:eastAsiaTheme="majorEastAsia" w:cstheme="majorEastAsia"/>
          <w:sz w:val="36"/>
          <w:szCs w:val="36"/>
        </w:rPr>
      </w:pPr>
    </w:p>
    <w:p>
      <w:pPr>
        <w:jc w:val="center"/>
        <w:rPr>
          <w:rFonts w:asciiTheme="majorEastAsia" w:hAnsiTheme="majorEastAsia" w:eastAsiaTheme="majorEastAsia" w:cstheme="majorEastAsia"/>
        </w:rPr>
      </w:pPr>
    </w:p>
    <w:p>
      <w:pPr>
        <w:jc w:val="center"/>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编号：</w:t>
      </w:r>
      <w:r>
        <w:rPr>
          <w:rFonts w:hint="eastAsia" w:asciiTheme="majorEastAsia" w:hAnsiTheme="majorEastAsia" w:eastAsiaTheme="majorEastAsia" w:cstheme="majorEastAsia"/>
          <w:b/>
          <w:sz w:val="32"/>
          <w:szCs w:val="32"/>
          <w:lang w:val="en-US" w:eastAsia="zh-CN"/>
        </w:rPr>
        <w:t>2025-Q073</w:t>
      </w: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32"/>
          <w:szCs w:val="32"/>
        </w:rPr>
      </w:pP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四川省南宝山服饰有限公司</w:t>
      </w:r>
    </w:p>
    <w:p>
      <w:pPr>
        <w:ind w:firstLine="3596" w:firstLineChars="995"/>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202</w:t>
      </w:r>
      <w:r>
        <w:rPr>
          <w:rFonts w:hint="eastAsia" w:asciiTheme="majorEastAsia" w:hAnsiTheme="majorEastAsia" w:eastAsiaTheme="majorEastAsia" w:cstheme="majorEastAsia"/>
          <w:b/>
          <w:sz w:val="36"/>
          <w:szCs w:val="36"/>
          <w:highlight w:val="none"/>
          <w:lang w:val="en-US" w:eastAsia="zh-CN"/>
        </w:rPr>
        <w:t>5</w:t>
      </w:r>
      <w:r>
        <w:rPr>
          <w:rFonts w:hint="eastAsia" w:asciiTheme="majorEastAsia" w:hAnsiTheme="majorEastAsia" w:eastAsiaTheme="majorEastAsia" w:cstheme="majorEastAsia"/>
          <w:b/>
          <w:sz w:val="36"/>
          <w:szCs w:val="36"/>
          <w:highlight w:val="none"/>
        </w:rPr>
        <w:t>年</w:t>
      </w:r>
      <w:r>
        <w:rPr>
          <w:rFonts w:hint="eastAsia" w:asciiTheme="majorEastAsia" w:hAnsiTheme="majorEastAsia" w:eastAsiaTheme="majorEastAsia" w:cstheme="majorEastAsia"/>
          <w:b/>
          <w:sz w:val="36"/>
          <w:szCs w:val="36"/>
          <w:highlight w:val="none"/>
          <w:lang w:val="en-US" w:eastAsia="zh-CN"/>
        </w:rPr>
        <w:t xml:space="preserve"> 8</w:t>
      </w:r>
      <w:r>
        <w:rPr>
          <w:rFonts w:hint="eastAsia" w:asciiTheme="majorEastAsia" w:hAnsiTheme="majorEastAsia" w:eastAsiaTheme="majorEastAsia" w:cstheme="majorEastAsia"/>
          <w:b/>
          <w:sz w:val="36"/>
          <w:szCs w:val="36"/>
          <w:highlight w:val="none"/>
        </w:rPr>
        <w:t>月</w:t>
      </w:r>
    </w:p>
    <w:p>
      <w:pPr>
        <w:rPr>
          <w:rFonts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br w:type="page"/>
      </w:r>
    </w:p>
    <w:p>
      <w:pPr>
        <w:rPr>
          <w:rFonts w:asciiTheme="majorEastAsia" w:hAnsiTheme="majorEastAsia" w:eastAsiaTheme="majorEastAsia" w:cstheme="majorEastAsia"/>
          <w:b/>
          <w:color w:val="000000"/>
        </w:rPr>
      </w:pPr>
    </w:p>
    <w:p>
      <w:pPr>
        <w:spacing w:line="800" w:lineRule="exact"/>
        <w:jc w:val="center"/>
        <w:rPr>
          <w:rFonts w:asciiTheme="majorEastAsia" w:hAnsiTheme="majorEastAsia" w:eastAsiaTheme="majorEastAsia" w:cstheme="majorEastAsia"/>
          <w:snapToGrid w:val="0"/>
          <w:sz w:val="36"/>
        </w:rPr>
      </w:pPr>
      <w:bookmarkStart w:id="0" w:name="_Toc227144287"/>
    </w:p>
    <w:bookmarkEnd w:id="0"/>
    <w:p>
      <w:pPr>
        <w:spacing w:line="800" w:lineRule="exact"/>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目   录</w:t>
      </w:r>
    </w:p>
    <w:p>
      <w:pPr>
        <w:spacing w:line="800" w:lineRule="exact"/>
        <w:rPr>
          <w:rFonts w:asciiTheme="majorEastAsia" w:hAnsiTheme="majorEastAsia" w:eastAsiaTheme="majorEastAsia" w:cstheme="majorEastAsia"/>
          <w:snapToGrid w:val="0"/>
          <w:sz w:val="36"/>
        </w:rPr>
      </w:pP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 xml:space="preserve">第一部分   </w:t>
      </w:r>
      <w:r>
        <w:rPr>
          <w:rFonts w:hint="eastAsia" w:asciiTheme="majorEastAsia" w:hAnsiTheme="majorEastAsia" w:eastAsiaTheme="majorEastAsia" w:cstheme="majorEastAsia"/>
          <w:snapToGrid w:val="0"/>
          <w:sz w:val="32"/>
          <w:szCs w:val="32"/>
          <w:lang w:val="en-US" w:eastAsia="zh-CN"/>
        </w:rPr>
        <w:t>磋商</w:t>
      </w:r>
      <w:r>
        <w:rPr>
          <w:rFonts w:hint="eastAsia" w:asciiTheme="majorEastAsia" w:hAnsiTheme="majorEastAsia" w:eastAsiaTheme="majorEastAsia" w:cstheme="majorEastAsia"/>
          <w:snapToGrid w:val="0"/>
          <w:sz w:val="32"/>
          <w:szCs w:val="32"/>
        </w:rPr>
        <w:t>邀请（公告）</w:t>
      </w: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 xml:space="preserve">第二部分   </w:t>
      </w:r>
      <w:r>
        <w:rPr>
          <w:rFonts w:hint="eastAsia" w:asciiTheme="majorEastAsia" w:hAnsiTheme="majorEastAsia" w:eastAsiaTheme="majorEastAsia" w:cstheme="majorEastAsia"/>
          <w:snapToGrid w:val="0"/>
          <w:sz w:val="32"/>
          <w:szCs w:val="32"/>
          <w:lang w:val="en-US" w:eastAsia="zh-CN"/>
        </w:rPr>
        <w:t>磋商</w:t>
      </w:r>
      <w:r>
        <w:rPr>
          <w:rFonts w:hint="eastAsia" w:asciiTheme="majorEastAsia" w:hAnsiTheme="majorEastAsia" w:eastAsiaTheme="majorEastAsia" w:cstheme="majorEastAsia"/>
          <w:snapToGrid w:val="0"/>
          <w:sz w:val="32"/>
          <w:szCs w:val="32"/>
        </w:rPr>
        <w:t>须知</w:t>
      </w:r>
    </w:p>
    <w:p>
      <w:pPr>
        <w:snapToGrid w:val="0"/>
        <w:spacing w:line="480" w:lineRule="auto"/>
        <w:ind w:firstLine="2240" w:firstLineChars="700"/>
        <w:rPr>
          <w:rFonts w:asciiTheme="majorEastAsia" w:hAnsiTheme="majorEastAsia" w:eastAsiaTheme="majorEastAsia" w:cstheme="majorEastAsia"/>
          <w:snapToGrid w:val="0"/>
          <w:sz w:val="32"/>
          <w:szCs w:val="32"/>
        </w:rPr>
      </w:pPr>
      <w:r>
        <w:rPr>
          <w:rFonts w:hint="eastAsia" w:asciiTheme="majorEastAsia" w:hAnsiTheme="majorEastAsia" w:eastAsiaTheme="majorEastAsia" w:cstheme="majorEastAsia"/>
          <w:snapToGrid w:val="0"/>
          <w:sz w:val="32"/>
          <w:szCs w:val="32"/>
        </w:rPr>
        <w:t>第三部分   报价文件格式</w:t>
      </w:r>
    </w:p>
    <w:p>
      <w:pPr>
        <w:snapToGrid w:val="0"/>
        <w:spacing w:line="760" w:lineRule="exact"/>
        <w:rPr>
          <w:rFonts w:asciiTheme="majorEastAsia" w:hAnsiTheme="majorEastAsia" w:eastAsiaTheme="majorEastAsia" w:cstheme="majorEastAsia"/>
          <w:snapToGrid w:val="0"/>
          <w:sz w:val="32"/>
          <w:szCs w:val="32"/>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spacing w:line="760" w:lineRule="exact"/>
        <w:rPr>
          <w:rFonts w:asciiTheme="majorEastAsia" w:hAnsiTheme="majorEastAsia" w:eastAsiaTheme="majorEastAsia" w:cstheme="majorEastAsia"/>
          <w:snapToGrid w:val="0"/>
        </w:rPr>
      </w:pPr>
    </w:p>
    <w:p>
      <w:pPr>
        <w:snapToGrid w:val="0"/>
        <w:rPr>
          <w:rFonts w:asciiTheme="majorEastAsia" w:hAnsiTheme="majorEastAsia" w:eastAsiaTheme="majorEastAsia" w:cstheme="majorEastAsia"/>
          <w:snapToGrid w:val="0"/>
          <w:sz w:val="36"/>
        </w:rPr>
      </w:pPr>
    </w:p>
    <w:p>
      <w:pPr>
        <w:snapToGrid w:val="0"/>
        <w:rPr>
          <w:rFonts w:asciiTheme="majorEastAsia" w:hAnsiTheme="majorEastAsia" w:eastAsiaTheme="majorEastAsia" w:cstheme="majorEastAsia"/>
          <w:snapToGrid w:val="0"/>
          <w:sz w:val="36"/>
        </w:rPr>
      </w:pPr>
    </w:p>
    <w:p>
      <w:pPr>
        <w:spacing w:line="360" w:lineRule="auto"/>
        <w:ind w:firstLine="1988" w:firstLineChars="450"/>
        <w:rPr>
          <w:rFonts w:asciiTheme="majorEastAsia" w:hAnsiTheme="majorEastAsia" w:eastAsiaTheme="majorEastAsia" w:cstheme="majorEastAsia"/>
          <w:b/>
          <w:snapToGrid w:val="0"/>
          <w:sz w:val="44"/>
          <w:szCs w:val="44"/>
        </w:rPr>
      </w:pPr>
    </w:p>
    <w:p>
      <w:pPr>
        <w:numPr>
          <w:ilvl w:val="0"/>
          <w:numId w:val="1"/>
        </w:numPr>
        <w:spacing w:line="360" w:lineRule="auto"/>
        <w:ind w:firstLine="1988" w:firstLineChars="450"/>
        <w:rPr>
          <w:rFonts w:hint="eastAsia"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 xml:space="preserve"> </w:t>
      </w:r>
      <w:r>
        <w:rPr>
          <w:rFonts w:hint="eastAsia" w:asciiTheme="majorEastAsia" w:hAnsiTheme="majorEastAsia" w:eastAsiaTheme="majorEastAsia" w:cstheme="majorEastAsia"/>
          <w:b/>
          <w:snapToGrid w:val="0"/>
          <w:sz w:val="44"/>
          <w:szCs w:val="44"/>
          <w:lang w:val="en-US" w:eastAsia="zh-CN"/>
        </w:rPr>
        <w:t>磋商</w:t>
      </w:r>
      <w:r>
        <w:rPr>
          <w:rFonts w:hint="eastAsia" w:asciiTheme="majorEastAsia" w:hAnsiTheme="majorEastAsia" w:eastAsiaTheme="majorEastAsia" w:cstheme="majorEastAsia"/>
          <w:b/>
          <w:snapToGrid w:val="0"/>
          <w:sz w:val="44"/>
          <w:szCs w:val="44"/>
        </w:rPr>
        <w:t>邀请（公告）</w:t>
      </w:r>
    </w:p>
    <w:p>
      <w:pPr>
        <w:spacing w:before="156" w:beforeLines="50" w:after="156" w:afterLines="50" w:line="140" w:lineRule="atLeast"/>
        <w:ind w:firstLine="420" w:firstLineChars="150"/>
        <w:rPr>
          <w:rFonts w:hint="eastAsia" w:ascii="宋体" w:hAnsi="宋体" w:eastAsia="宋体" w:cs="宋体"/>
        </w:rPr>
      </w:pPr>
      <w:r>
        <w:rPr>
          <w:rFonts w:hint="eastAsia" w:ascii="宋体" w:hAnsi="宋体" w:eastAsia="宋体" w:cs="宋体"/>
        </w:rPr>
        <w:t xml:space="preserve"> 四川省南宝山服饰有限公司根据单位需要，准备对</w:t>
      </w:r>
      <w:r>
        <w:rPr>
          <w:rFonts w:hint="eastAsia" w:ascii="宋体" w:hAnsi="宋体" w:eastAsia="宋体" w:cs="宋体"/>
          <w:lang w:eastAsia="zh-CN"/>
        </w:rPr>
        <w:t>服装生产车间</w:t>
      </w:r>
      <w:r>
        <w:rPr>
          <w:rFonts w:hint="eastAsia" w:ascii="宋体" w:hAnsi="宋体" w:eastAsia="宋体" w:cs="宋体"/>
          <w:lang w:val="en-US" w:eastAsia="zh-CN"/>
        </w:rPr>
        <w:t>2025年服装技术指导服务外包</w:t>
      </w:r>
      <w:r>
        <w:rPr>
          <w:rFonts w:hint="eastAsia" w:ascii="宋体" w:hAnsi="宋体" w:eastAsia="宋体" w:cs="宋体"/>
        </w:rPr>
        <w:t>采购项目进行采购，现诚</w:t>
      </w:r>
      <w:r>
        <w:rPr>
          <w:rFonts w:hint="eastAsia" w:ascii="宋体" w:hAnsi="宋体" w:eastAsia="宋体" w:cs="宋体"/>
          <w:spacing w:val="8"/>
        </w:rPr>
        <w:t>邀各公司</w:t>
      </w:r>
      <w:r>
        <w:rPr>
          <w:rFonts w:hint="eastAsia" w:ascii="宋体" w:hAnsi="宋体" w:eastAsia="宋体" w:cs="宋体"/>
        </w:rPr>
        <w:t>参加此项目并与我方联系</w:t>
      </w:r>
      <w:r>
        <w:rPr>
          <w:rFonts w:hint="eastAsia" w:ascii="宋体" w:hAnsi="宋体" w:eastAsia="宋体" w:cs="宋体"/>
          <w:lang w:eastAsia="zh-CN"/>
        </w:rPr>
        <w:t>获取磋商</w:t>
      </w:r>
      <w:r>
        <w:rPr>
          <w:rFonts w:hint="eastAsia" w:ascii="宋体" w:hAnsi="宋体" w:eastAsia="宋体" w:cs="宋体"/>
        </w:rPr>
        <w:t>文件事宜。</w:t>
      </w:r>
    </w:p>
    <w:p>
      <w:pPr>
        <w:spacing w:before="156" w:beforeLines="50" w:after="156" w:afterLines="50" w:line="140" w:lineRule="atLeast"/>
        <w:ind w:firstLine="420" w:firstLineChars="15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磋商公告</w:t>
      </w:r>
    </w:p>
    <w:tbl>
      <w:tblPr>
        <w:tblStyle w:val="13"/>
        <w:tblpPr w:leftFromText="180" w:rightFromText="180" w:vertAnchor="text" w:horzAnchor="page" w:tblpX="2186" w:tblpY="248"/>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采购项目名称</w:t>
            </w:r>
          </w:p>
        </w:tc>
        <w:tc>
          <w:tcPr>
            <w:tcW w:w="6520" w:type="dxa"/>
            <w:noWrap w:val="0"/>
            <w:tcMar>
              <w:top w:w="36" w:type="dxa"/>
              <w:left w:w="36" w:type="dxa"/>
              <w:bottom w:w="36" w:type="dxa"/>
              <w:right w:w="36" w:type="dxa"/>
            </w:tcMar>
            <w:vAlign w:val="bottom"/>
          </w:tcPr>
          <w:p>
            <w:pPr>
              <w:widowControl/>
              <w:shd w:val="clear" w:color="auto" w:fill="FFFFFF"/>
              <w:spacing w:before="216" w:after="144" w:line="259" w:lineRule="atLeast"/>
              <w:jc w:val="left"/>
              <w:textAlignment w:val="baseline"/>
              <w:outlineLvl w:val="1"/>
              <w:rPr>
                <w:rFonts w:hint="eastAsia" w:ascii="宋体" w:hAnsi="宋体" w:eastAsia="宋体" w:cs="宋体"/>
                <w:bCs/>
                <w:kern w:val="0"/>
                <w:sz w:val="24"/>
                <w:szCs w:val="24"/>
              </w:rPr>
            </w:pPr>
            <w:r>
              <w:rPr>
                <w:rFonts w:hint="eastAsia" w:ascii="宋体" w:hAnsi="宋体" w:eastAsia="宋体" w:cs="宋体"/>
                <w:bCs/>
                <w:kern w:val="0"/>
                <w:sz w:val="24"/>
                <w:szCs w:val="24"/>
              </w:rPr>
              <w:t>四川省南宝山服饰有限公司</w:t>
            </w:r>
            <w:r>
              <w:rPr>
                <w:rFonts w:hint="eastAsia" w:ascii="宋体" w:hAnsi="宋体" w:eastAsia="宋体" w:cs="宋体"/>
                <w:bCs/>
                <w:kern w:val="0"/>
                <w:sz w:val="24"/>
                <w:szCs w:val="24"/>
                <w:lang w:val="en-US" w:eastAsia="zh-CN"/>
              </w:rPr>
              <w:t>2025年服装技术指导服务外包</w:t>
            </w:r>
            <w:r>
              <w:rPr>
                <w:rFonts w:hint="eastAsia" w:ascii="宋体" w:hAnsi="宋体" w:eastAsia="宋体" w:cs="宋体"/>
                <w:bCs/>
                <w:kern w:val="0"/>
                <w:sz w:val="24"/>
                <w:szCs w:val="24"/>
              </w:rPr>
              <w:t>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采购单位</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获取</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文件时间</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19</w:t>
            </w:r>
            <w:r>
              <w:rPr>
                <w:rFonts w:hint="eastAsia" w:ascii="宋体" w:hAnsi="宋体" w:eastAsia="宋体" w:cs="宋体"/>
                <w:bCs/>
                <w:kern w:val="0"/>
                <w:sz w:val="24"/>
                <w:szCs w:val="24"/>
              </w:rPr>
              <w:t>日 09:00至202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25</w:t>
            </w:r>
            <w:r>
              <w:rPr>
                <w:rFonts w:hint="eastAsia" w:ascii="宋体" w:hAnsi="宋体" w:eastAsia="宋体" w:cs="宋体"/>
                <w:bCs/>
                <w:kern w:val="0"/>
                <w:sz w:val="24"/>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获取</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文件地点</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四川省南宝山服饰有限公司</w:t>
            </w:r>
            <w:r>
              <w:rPr>
                <w:rFonts w:hint="eastAsia" w:ascii="宋体" w:hAnsi="宋体" w:eastAsia="宋体" w:cs="宋体"/>
                <w:bCs/>
                <w:kern w:val="0"/>
                <w:sz w:val="24"/>
                <w:szCs w:val="24"/>
                <w:lang w:eastAsia="zh-CN"/>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响应文件递交地点</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四川省南宝山服饰有限公司</w:t>
            </w:r>
            <w:r>
              <w:rPr>
                <w:rFonts w:hint="eastAsia" w:ascii="宋体" w:hAnsi="宋体" w:eastAsia="宋体" w:cs="宋体"/>
                <w:bCs/>
                <w:kern w:val="0"/>
                <w:sz w:val="24"/>
                <w:szCs w:val="24"/>
                <w:lang w:eastAsia="zh-CN"/>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响应文件开启时间</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202</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月</w:t>
            </w:r>
            <w:r>
              <w:rPr>
                <w:rFonts w:hint="eastAsia" w:ascii="宋体" w:hAnsi="宋体" w:cs="宋体"/>
                <w:bCs/>
                <w:kern w:val="0"/>
                <w:sz w:val="24"/>
                <w:szCs w:val="24"/>
                <w:lang w:val="en-US" w:eastAsia="zh-CN"/>
              </w:rPr>
              <w:t>29</w:t>
            </w:r>
            <w:r>
              <w:rPr>
                <w:rFonts w:hint="eastAsia" w:ascii="宋体" w:hAnsi="宋体" w:eastAsia="宋体" w:cs="宋体"/>
                <w:bCs/>
                <w:kern w:val="0"/>
                <w:sz w:val="24"/>
                <w:szCs w:val="24"/>
              </w:rPr>
              <w:t>日 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响应文件开启地点</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四川省南宝山服饰有限公司</w:t>
            </w:r>
            <w:r>
              <w:rPr>
                <w:rFonts w:hint="eastAsia" w:ascii="宋体" w:hAnsi="宋体" w:eastAsia="宋体" w:cs="宋体"/>
                <w:bCs/>
                <w:kern w:val="0"/>
                <w:sz w:val="24"/>
                <w:szCs w:val="24"/>
                <w:lang w:eastAsia="zh-CN"/>
              </w:rPr>
              <w:t>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8789" w:type="dxa"/>
            <w:gridSpan w:val="2"/>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项目联系单位</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公司</w:t>
            </w:r>
            <w:r>
              <w:rPr>
                <w:rFonts w:hint="eastAsia" w:ascii="宋体" w:hAnsi="宋体" w:eastAsia="宋体" w:cs="宋体"/>
                <w:bCs/>
                <w:kern w:val="0"/>
                <w:sz w:val="24"/>
                <w:szCs w:val="24"/>
              </w:rPr>
              <w:t>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项目报名电话和邮箱</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028-88808053  scsqljy88808053@163.com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邮箱报名格式</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项目名称+报名单位全称+代理人姓名+联系电话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采购单位</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69" w:type="dxa"/>
            <w:noWrap w:val="0"/>
            <w:tcMar>
              <w:top w:w="36" w:type="dxa"/>
              <w:left w:w="36" w:type="dxa"/>
              <w:bottom w:w="36" w:type="dxa"/>
              <w:right w:w="22" w:type="dxa"/>
            </w:tcMar>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采购单位地址</w:t>
            </w:r>
          </w:p>
        </w:tc>
        <w:tc>
          <w:tcPr>
            <w:tcW w:w="6520" w:type="dxa"/>
            <w:noWrap w:val="0"/>
            <w:tcMar>
              <w:top w:w="36" w:type="dxa"/>
              <w:left w:w="36" w:type="dxa"/>
              <w:bottom w:w="36" w:type="dxa"/>
              <w:right w:w="36" w:type="dxa"/>
            </w:tcMar>
            <w:vAlign w:val="bottom"/>
          </w:tcPr>
          <w:p>
            <w:pPr>
              <w:widowControl/>
              <w:jc w:val="left"/>
              <w:rPr>
                <w:rFonts w:hint="eastAsia" w:ascii="宋体" w:hAnsi="宋体" w:eastAsia="宋体" w:cs="宋体"/>
                <w:bCs/>
                <w:kern w:val="0"/>
                <w:sz w:val="24"/>
                <w:szCs w:val="24"/>
              </w:rPr>
            </w:pPr>
            <w:r>
              <w:rPr>
                <w:rFonts w:hint="eastAsia" w:ascii="宋体" w:hAnsi="宋体" w:eastAsia="宋体" w:cs="宋体"/>
                <w:bCs/>
                <w:kern w:val="0"/>
                <w:sz w:val="24"/>
                <w:szCs w:val="24"/>
              </w:rPr>
              <w:t>成都市邛崃市临邛镇土陶村</w:t>
            </w:r>
            <w:r>
              <w:rPr>
                <w:rFonts w:hint="eastAsia" w:ascii="宋体" w:hAnsi="宋体" w:eastAsia="宋体" w:cs="宋体"/>
                <w:bCs/>
                <w:kern w:val="0"/>
                <w:sz w:val="24"/>
                <w:szCs w:val="24"/>
                <w:lang w:eastAsia="zh-CN"/>
              </w:rPr>
              <w:t>（导航搜索邛崃市黄叶茶楼）</w:t>
            </w:r>
          </w:p>
        </w:tc>
      </w:tr>
    </w:tbl>
    <w:p>
      <w:pPr>
        <w:spacing w:line="140" w:lineRule="atLeast"/>
        <w:rPr>
          <w:rFonts w:hint="eastAsia" w:ascii="宋体" w:hAnsi="宋体" w:eastAsia="宋体" w:cs="宋体"/>
          <w:b/>
        </w:rPr>
      </w:pPr>
      <w:r>
        <w:rPr>
          <w:rFonts w:hint="eastAsia" w:ascii="宋体" w:hAnsi="宋体" w:eastAsia="宋体" w:cs="宋体"/>
          <w:b/>
          <w:bCs/>
          <w:color w:val="000000"/>
        </w:rPr>
        <w:t>1.2投标人</w:t>
      </w:r>
      <w:r>
        <w:rPr>
          <w:rFonts w:hint="eastAsia" w:ascii="宋体" w:hAnsi="宋体" w:eastAsia="宋体" w:cs="宋体"/>
          <w:b/>
        </w:rPr>
        <w:t>资格条件要求</w:t>
      </w:r>
    </w:p>
    <w:p>
      <w:pPr>
        <w:spacing w:line="140" w:lineRule="atLeast"/>
        <w:rPr>
          <w:rFonts w:hint="eastAsia" w:ascii="宋体" w:hAnsi="宋体" w:eastAsia="宋体" w:cs="宋体"/>
        </w:rPr>
      </w:pPr>
      <w:r>
        <w:rPr>
          <w:rFonts w:hint="eastAsia" w:ascii="宋体" w:hAnsi="宋体" w:eastAsia="宋体" w:cs="宋体"/>
        </w:rPr>
        <w:t>1.2.1在中华人民共和国境内注册</w:t>
      </w:r>
      <w:r>
        <w:rPr>
          <w:rFonts w:hint="eastAsia" w:ascii="宋体" w:hAnsi="宋体" w:eastAsia="宋体" w:cs="宋体"/>
          <w:color w:val="0000FF"/>
        </w:rPr>
        <w:t>，</w:t>
      </w:r>
      <w:r>
        <w:rPr>
          <w:rFonts w:hint="eastAsia" w:ascii="宋体" w:hAnsi="宋体" w:eastAsia="宋体" w:cs="宋体"/>
        </w:rPr>
        <w:t>具有独立承担民事责任能力的企业法人；</w:t>
      </w:r>
    </w:p>
    <w:p>
      <w:pPr>
        <w:spacing w:line="140" w:lineRule="atLeast"/>
        <w:rPr>
          <w:rFonts w:hint="eastAsia" w:ascii="宋体" w:hAnsi="宋体" w:eastAsia="宋体" w:cs="宋体"/>
        </w:rPr>
      </w:pPr>
      <w:r>
        <w:rPr>
          <w:rFonts w:hint="eastAsia" w:ascii="宋体" w:hAnsi="宋体" w:eastAsia="宋体" w:cs="宋体"/>
          <w:color w:val="000000"/>
        </w:rPr>
        <w:t>1.2.2</w:t>
      </w:r>
      <w:r>
        <w:rPr>
          <w:rFonts w:hint="eastAsia" w:ascii="宋体" w:hAnsi="宋体" w:eastAsia="宋体" w:cs="宋体"/>
        </w:rPr>
        <w:t>具有有效的营业执照、税务登记证、组织机构代码等相关证件和相应的资质。</w:t>
      </w:r>
    </w:p>
    <w:p>
      <w:pPr>
        <w:spacing w:line="140" w:lineRule="atLeast"/>
        <w:rPr>
          <w:rFonts w:hint="eastAsia" w:ascii="宋体" w:hAnsi="宋体" w:eastAsia="宋体" w:cs="宋体"/>
        </w:rPr>
      </w:pPr>
      <w:r>
        <w:rPr>
          <w:rFonts w:hint="eastAsia" w:ascii="宋体" w:hAnsi="宋体" w:eastAsia="宋体" w:cs="宋体"/>
        </w:rPr>
        <w:t>1.2.3具有良好的商业信誉和健全的财务会计制度。</w:t>
      </w:r>
    </w:p>
    <w:p>
      <w:pPr>
        <w:spacing w:line="140" w:lineRule="atLeast"/>
        <w:rPr>
          <w:rFonts w:hint="eastAsia" w:ascii="宋体" w:hAnsi="宋体" w:eastAsia="宋体" w:cs="宋体"/>
        </w:rPr>
      </w:pPr>
      <w:r>
        <w:rPr>
          <w:rFonts w:hint="eastAsia" w:ascii="宋体" w:hAnsi="宋体" w:eastAsia="宋体" w:cs="宋体"/>
        </w:rPr>
        <w:t>1.2.4具有履行合同所必需的</w:t>
      </w:r>
      <w:r>
        <w:rPr>
          <w:rFonts w:hint="eastAsia" w:ascii="宋体" w:hAnsi="宋体" w:eastAsia="宋体" w:cs="宋体"/>
          <w:lang w:eastAsia="zh-CN"/>
        </w:rPr>
        <w:t>专业技术能力</w:t>
      </w:r>
      <w:r>
        <w:rPr>
          <w:rFonts w:hint="eastAsia" w:ascii="宋体" w:hAnsi="宋体" w:eastAsia="宋体" w:cs="宋体"/>
        </w:rPr>
        <w:t>。</w:t>
      </w:r>
    </w:p>
    <w:p>
      <w:pPr>
        <w:spacing w:line="140" w:lineRule="atLeast"/>
        <w:rPr>
          <w:rFonts w:hint="eastAsia" w:ascii="宋体" w:hAnsi="宋体" w:eastAsia="宋体" w:cs="宋体"/>
        </w:rPr>
      </w:pPr>
      <w:r>
        <w:rPr>
          <w:rFonts w:hint="eastAsia" w:ascii="宋体" w:hAnsi="宋体" w:eastAsia="宋体" w:cs="宋体"/>
        </w:rPr>
        <w:t>1.2.5本次投标不接受联合体投标。</w:t>
      </w:r>
    </w:p>
    <w:p>
      <w:pPr>
        <w:spacing w:line="140" w:lineRule="atLeast"/>
        <w:rPr>
          <w:rFonts w:hint="eastAsia" w:ascii="宋体" w:hAnsi="宋体" w:eastAsia="宋体" w:cs="宋体"/>
          <w:color w:val="000000"/>
        </w:rPr>
      </w:pPr>
      <w:r>
        <w:rPr>
          <w:rFonts w:hint="eastAsia" w:ascii="宋体" w:hAnsi="宋体" w:eastAsia="宋体" w:cs="宋体"/>
        </w:rPr>
        <w:t>1.2.6</w:t>
      </w:r>
      <w:r>
        <w:rPr>
          <w:rFonts w:hint="eastAsia" w:ascii="宋体" w:hAnsi="宋体" w:eastAsia="宋体" w:cs="宋体"/>
          <w:color w:val="000000"/>
        </w:rPr>
        <w:t>加入此次</w:t>
      </w:r>
      <w:r>
        <w:rPr>
          <w:rFonts w:hint="eastAsia" w:ascii="宋体" w:hAnsi="宋体" w:eastAsia="宋体" w:cs="宋体"/>
          <w:color w:val="000000"/>
          <w:lang w:eastAsia="zh-CN"/>
        </w:rPr>
        <w:t>磋商</w:t>
      </w:r>
      <w:r>
        <w:rPr>
          <w:rFonts w:hint="eastAsia" w:ascii="宋体" w:hAnsi="宋体" w:eastAsia="宋体" w:cs="宋体"/>
          <w:color w:val="000000"/>
        </w:rPr>
        <w:t>活动近三年内，经营活动中没有违法记录（提供承诺函）。</w:t>
      </w:r>
    </w:p>
    <w:p>
      <w:pPr>
        <w:numPr>
          <w:ilvl w:val="0"/>
          <w:numId w:val="0"/>
        </w:numPr>
        <w:spacing w:line="360" w:lineRule="auto"/>
        <w:jc w:val="center"/>
        <w:rPr>
          <w:rFonts w:hint="default" w:asciiTheme="majorEastAsia" w:hAnsiTheme="majorEastAsia" w:eastAsiaTheme="majorEastAsia" w:cstheme="majorEastAsia"/>
          <w:b/>
          <w:snapToGrid w:val="0"/>
          <w:sz w:val="44"/>
          <w:szCs w:val="44"/>
          <w:lang w:val="en-US" w:eastAsia="zh-CN"/>
        </w:rPr>
      </w:pPr>
      <w:r>
        <w:rPr>
          <w:rFonts w:hint="eastAsia" w:asciiTheme="majorEastAsia" w:hAnsiTheme="majorEastAsia" w:eastAsiaTheme="majorEastAsia" w:cstheme="majorEastAsia"/>
          <w:b/>
          <w:snapToGrid w:val="0"/>
          <w:sz w:val="44"/>
          <w:szCs w:val="44"/>
          <w:lang w:eastAsia="zh-CN"/>
        </w:rPr>
        <w:t>第二部分</w:t>
      </w:r>
      <w:r>
        <w:rPr>
          <w:rFonts w:hint="eastAsia" w:asciiTheme="majorEastAsia" w:hAnsiTheme="majorEastAsia" w:eastAsiaTheme="majorEastAsia" w:cstheme="majorEastAsia"/>
          <w:b/>
          <w:snapToGrid w:val="0"/>
          <w:sz w:val="44"/>
          <w:szCs w:val="44"/>
          <w:lang w:val="en-US" w:eastAsia="zh-CN"/>
        </w:rPr>
        <w:t xml:space="preserve"> 采购需求及商务条款</w:t>
      </w:r>
    </w:p>
    <w:p>
      <w:pPr>
        <w:spacing w:line="580" w:lineRule="exact"/>
        <w:ind w:right="720"/>
        <w:rPr>
          <w:rFonts w:asciiTheme="majorEastAsia" w:hAnsiTheme="majorEastAsia" w:eastAsiaTheme="majorEastAsia" w:cstheme="majorEastAsia"/>
          <w:b/>
          <w:bCs/>
        </w:rPr>
      </w:pPr>
      <w:r>
        <w:rPr>
          <w:rFonts w:hint="eastAsia" w:asciiTheme="majorEastAsia" w:hAnsiTheme="majorEastAsia" w:eastAsiaTheme="majorEastAsia" w:cstheme="majorEastAsia"/>
          <w:b/>
          <w:bCs/>
        </w:rPr>
        <w:t>一、项目概况</w:t>
      </w:r>
    </w:p>
    <w:p>
      <w:pPr>
        <w:spacing w:line="580" w:lineRule="exact"/>
        <w:ind w:right="720" w:firstLine="56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四</w:t>
      </w:r>
      <w:r>
        <w:rPr>
          <w:rFonts w:hint="eastAsia" w:asciiTheme="majorEastAsia" w:hAnsiTheme="majorEastAsia" w:eastAsiaTheme="majorEastAsia" w:cstheme="majorEastAsia"/>
          <w:snapToGrid w:val="0"/>
        </w:rPr>
        <w:t>川省</w:t>
      </w:r>
      <w:r>
        <w:rPr>
          <w:rFonts w:hint="eastAsia" w:asciiTheme="majorEastAsia" w:hAnsiTheme="majorEastAsia" w:eastAsiaTheme="majorEastAsia" w:cstheme="majorEastAsia"/>
        </w:rPr>
        <w:t>南宝山服饰有限公司</w:t>
      </w:r>
      <w:r>
        <w:rPr>
          <w:rFonts w:hint="eastAsia" w:asciiTheme="majorEastAsia" w:hAnsiTheme="majorEastAsia" w:eastAsiaTheme="majorEastAsia" w:cstheme="majorEastAsia"/>
          <w:snapToGrid w:val="0"/>
        </w:rPr>
        <w:t>通过谈判确定1家合格的供应商承担我公司生产车间</w:t>
      </w:r>
      <w:r>
        <w:rPr>
          <w:rFonts w:hint="eastAsia" w:asciiTheme="majorEastAsia" w:hAnsiTheme="majorEastAsia" w:eastAsiaTheme="majorEastAsia" w:cstheme="majorEastAsia"/>
          <w:snapToGrid w:val="0"/>
          <w:lang w:val="en-US" w:eastAsia="zh-CN"/>
        </w:rPr>
        <w:t>2025年</w:t>
      </w:r>
      <w:r>
        <w:rPr>
          <w:rFonts w:hint="eastAsia" w:asciiTheme="majorEastAsia" w:hAnsiTheme="majorEastAsia" w:eastAsiaTheme="majorEastAsia" w:cstheme="majorEastAsia"/>
          <w:snapToGrid w:val="0"/>
        </w:rPr>
        <w:t>服装技术指导服务外包</w:t>
      </w:r>
      <w:r>
        <w:rPr>
          <w:rFonts w:hint="eastAsia" w:asciiTheme="majorEastAsia" w:hAnsiTheme="majorEastAsia" w:eastAsiaTheme="majorEastAsia" w:cstheme="majorEastAsia"/>
        </w:rPr>
        <w:t>。</w:t>
      </w:r>
    </w:p>
    <w:p>
      <w:pPr>
        <w:pStyle w:val="2"/>
        <w:numPr>
          <w:ilvl w:val="0"/>
          <w:numId w:val="2"/>
        </w:numPr>
        <w:ind w:firstLine="56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商务条款</w:t>
      </w:r>
    </w:p>
    <w:p>
      <w:pPr>
        <w:pStyle w:val="12"/>
        <w:ind w:firstLine="0" w:firstLineChars="0"/>
      </w:pPr>
      <w:r>
        <w:rPr>
          <w:rFonts w:hint="eastAsia"/>
        </w:rPr>
        <w:t>（一）、基本要求</w:t>
      </w:r>
    </w:p>
    <w:p>
      <w:pPr>
        <w:pStyle w:val="2"/>
        <w:rPr>
          <w:rFonts w:cstheme="majorEastAsia"/>
          <w:color w:val="auto"/>
        </w:rPr>
      </w:pPr>
      <w:r>
        <w:rPr>
          <w:rFonts w:hint="eastAsia" w:cstheme="majorEastAsia"/>
          <w:color w:val="auto"/>
        </w:rPr>
        <w:t>1、服务时间：为采购人具体生产加工时间内，提供服装技术指导服务。特殊情况下，按采购人额外加工生产时间提供额外服务，提供额外服务的，采购人不额外支付服务费用。</w:t>
      </w:r>
    </w:p>
    <w:p>
      <w:pPr>
        <w:pStyle w:val="2"/>
        <w:rPr>
          <w:rFonts w:cstheme="majorEastAsia"/>
          <w:color w:val="auto"/>
        </w:rPr>
      </w:pPr>
      <w:r>
        <w:rPr>
          <w:rFonts w:hint="eastAsia" w:cstheme="majorEastAsia"/>
          <w:color w:val="auto"/>
        </w:rPr>
        <w:t>2、服务时限：一年，自签合同之日起算。</w:t>
      </w:r>
    </w:p>
    <w:p>
      <w:pPr>
        <w:pStyle w:val="2"/>
        <w:rPr>
          <w:rFonts w:cstheme="majorEastAsia"/>
          <w:color w:val="auto"/>
        </w:rPr>
      </w:pPr>
      <w:r>
        <w:rPr>
          <w:rFonts w:hint="eastAsia" w:cstheme="majorEastAsia"/>
          <w:color w:val="auto"/>
        </w:rPr>
        <w:t>服务地点：四川省邛崃市临邛镇大东街669号（四川省南宝山服饰有限公司企业园区内）。</w:t>
      </w:r>
    </w:p>
    <w:p>
      <w:pPr>
        <w:pStyle w:val="2"/>
        <w:rPr>
          <w:rFonts w:cstheme="majorEastAsia"/>
          <w:color w:val="auto"/>
        </w:rPr>
      </w:pPr>
      <w:r>
        <w:rPr>
          <w:rFonts w:hint="eastAsia" w:cstheme="majorEastAsia"/>
          <w:color w:val="auto"/>
        </w:rPr>
        <w:t>3、服务费用：全年总服务费</w:t>
      </w:r>
      <w:r>
        <w:rPr>
          <w:rFonts w:hint="eastAsia" w:cstheme="majorEastAsia"/>
          <w:color w:val="auto"/>
          <w:lang w:val="en-US" w:eastAsia="zh-CN"/>
        </w:rPr>
        <w:t>16.6</w:t>
      </w:r>
      <w:r>
        <w:rPr>
          <w:rFonts w:hint="eastAsia" w:cstheme="majorEastAsia"/>
          <w:color w:val="auto"/>
        </w:rPr>
        <w:t>万元，服务费由基本服务费、</w:t>
      </w:r>
      <w:r>
        <w:rPr>
          <w:rFonts w:hint="eastAsia" w:cstheme="majorEastAsia"/>
          <w:color w:val="auto"/>
          <w:lang w:eastAsia="zh-CN"/>
        </w:rPr>
        <w:t>绩效</w:t>
      </w:r>
      <w:r>
        <w:rPr>
          <w:rFonts w:hint="eastAsia" w:cstheme="majorEastAsia"/>
          <w:color w:val="auto"/>
        </w:rPr>
        <w:t>考核</w:t>
      </w:r>
      <w:r>
        <w:rPr>
          <w:rFonts w:hint="eastAsia" w:cstheme="majorEastAsia"/>
          <w:color w:val="auto"/>
          <w:lang w:eastAsia="zh-CN"/>
        </w:rPr>
        <w:t>（不低于</w:t>
      </w:r>
      <w:r>
        <w:rPr>
          <w:rFonts w:hint="eastAsia" w:cstheme="majorEastAsia"/>
          <w:color w:val="auto"/>
          <w:lang w:val="en-US" w:eastAsia="zh-CN"/>
        </w:rPr>
        <w:t>1000元/月</w:t>
      </w:r>
      <w:r>
        <w:rPr>
          <w:rFonts w:hint="eastAsia" w:cstheme="majorEastAsia"/>
          <w:color w:val="auto"/>
          <w:lang w:eastAsia="zh-CN"/>
        </w:rPr>
        <w:t>）</w:t>
      </w:r>
      <w:r>
        <w:rPr>
          <w:rFonts w:hint="eastAsia" w:cstheme="majorEastAsia"/>
          <w:color w:val="auto"/>
        </w:rPr>
        <w:t>、管理费、税费等费用构成。</w:t>
      </w:r>
    </w:p>
    <w:p>
      <w:pPr>
        <w:pStyle w:val="2"/>
        <w:rPr>
          <w:rFonts w:asciiTheme="minorEastAsia" w:hAnsiTheme="minorEastAsia" w:eastAsiaTheme="minorEastAsia" w:cstheme="majorEastAsia"/>
          <w:color w:val="auto"/>
        </w:rPr>
      </w:pPr>
      <w:r>
        <w:rPr>
          <w:rFonts w:hint="eastAsia" w:asciiTheme="minorEastAsia" w:hAnsiTheme="minorEastAsia" w:eastAsiaTheme="minorEastAsia" w:cstheme="majorEastAsia"/>
          <w:color w:val="auto"/>
        </w:rPr>
        <w:t>4、服务费支付方式</w:t>
      </w:r>
    </w:p>
    <w:p>
      <w:pPr>
        <w:pStyle w:val="2"/>
        <w:rPr>
          <w:rFonts w:asciiTheme="minorEastAsia" w:hAnsiTheme="minorEastAsia" w:eastAsiaTheme="minorEastAsia"/>
          <w:color w:val="auto"/>
        </w:rPr>
      </w:pPr>
      <w:r>
        <w:rPr>
          <w:rFonts w:hint="eastAsia" w:asciiTheme="minorEastAsia" w:hAnsiTheme="minorEastAsia" w:eastAsiaTheme="minorEastAsia"/>
          <w:color w:val="auto"/>
        </w:rPr>
        <w:t>（1）基本服务费、管理费、税费：按季度支付。每季度届满，供应商向采购人开具合法增值税专用发票，采购人收到发票后的10个工作日内向供应商转账支付应付基本服务费、管理费、税费</w:t>
      </w:r>
      <w:r>
        <w:rPr>
          <w:rFonts w:hint="eastAsia" w:asciiTheme="minorEastAsia" w:hAnsiTheme="minorEastAsia" w:eastAsiaTheme="minorEastAsia"/>
          <w:color w:val="auto"/>
          <w:lang w:eastAsia="zh-CN"/>
        </w:rPr>
        <w:t>等费用</w:t>
      </w:r>
      <w:r>
        <w:rPr>
          <w:rFonts w:hint="eastAsia" w:asciiTheme="minorEastAsia" w:hAnsiTheme="minorEastAsia" w:eastAsiaTheme="minorEastAsia"/>
          <w:color w:val="auto"/>
        </w:rPr>
        <w:t>。</w:t>
      </w:r>
    </w:p>
    <w:p>
      <w:pPr>
        <w:pStyle w:val="2"/>
        <w:rPr>
          <w:rFonts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lang w:eastAsia="zh-CN"/>
        </w:rPr>
        <w:t>绩效考核</w:t>
      </w:r>
      <w:r>
        <w:rPr>
          <w:rFonts w:hint="eastAsia" w:asciiTheme="minorEastAsia" w:hAnsiTheme="minorEastAsia" w:eastAsiaTheme="minorEastAsia"/>
          <w:color w:val="auto"/>
        </w:rPr>
        <w:t>：按季度考核支付。每月核算起止时间：合同签定之日起</w:t>
      </w:r>
      <w:r>
        <w:rPr>
          <w:rFonts w:hint="eastAsia" w:asciiTheme="minorEastAsia" w:hAnsiTheme="minorEastAsia" w:eastAsiaTheme="minorEastAsia"/>
          <w:color w:val="auto"/>
          <w:lang w:eastAsia="zh-CN"/>
        </w:rPr>
        <w:t>至自然月对应号数的前一日</w:t>
      </w:r>
      <w:r>
        <w:rPr>
          <w:rFonts w:hint="eastAsia" w:asciiTheme="minorEastAsia" w:hAnsiTheme="minorEastAsia" w:eastAsiaTheme="minorEastAsia"/>
          <w:color w:val="auto"/>
        </w:rPr>
        <w:t>为第一个月，以此类推。</w:t>
      </w:r>
    </w:p>
    <w:p>
      <w:pPr>
        <w:pStyle w:val="2"/>
        <w:rPr>
          <w:rFonts w:asciiTheme="minorEastAsia" w:hAnsiTheme="minorEastAsia" w:eastAsiaTheme="minorEastAsia"/>
          <w:bCs/>
          <w:color w:val="auto"/>
        </w:rPr>
      </w:pPr>
      <w:r>
        <w:rPr>
          <w:rFonts w:hint="eastAsia" w:asciiTheme="minorEastAsia" w:hAnsiTheme="minorEastAsia" w:eastAsiaTheme="minorEastAsia"/>
          <w:bCs/>
          <w:color w:val="auto"/>
        </w:rPr>
        <w:t>5、季度考核方式以及结果运用</w:t>
      </w:r>
    </w:p>
    <w:p>
      <w:pPr>
        <w:pStyle w:val="2"/>
        <w:rPr>
          <w:rFonts w:asciiTheme="minorEastAsia" w:hAnsiTheme="minorEastAsia" w:eastAsiaTheme="minorEastAsia"/>
          <w:color w:val="auto"/>
        </w:rPr>
      </w:pPr>
      <w:r>
        <w:rPr>
          <w:rFonts w:hint="eastAsia" w:asciiTheme="minorEastAsia" w:hAnsiTheme="minorEastAsia" w:eastAsiaTheme="minorEastAsia"/>
          <w:color w:val="auto"/>
        </w:rPr>
        <w:t>考核方式</w:t>
      </w:r>
    </w:p>
    <w:p>
      <w:pPr>
        <w:pStyle w:val="2"/>
        <w:rPr>
          <w:rFonts w:asciiTheme="minorEastAsia" w:hAnsiTheme="minorEastAsia" w:eastAsiaTheme="minorEastAsia"/>
          <w:color w:val="auto"/>
        </w:rPr>
      </w:pPr>
      <w:r>
        <w:rPr>
          <w:rFonts w:hint="eastAsia" w:asciiTheme="minorEastAsia" w:hAnsiTheme="minorEastAsia" w:eastAsiaTheme="minorEastAsia"/>
          <w:color w:val="auto"/>
        </w:rPr>
        <w:t>（1）采用百分制</w:t>
      </w:r>
    </w:p>
    <w:p>
      <w:pPr>
        <w:pStyle w:val="2"/>
        <w:rPr>
          <w:rFonts w:asciiTheme="minorEastAsia" w:hAnsiTheme="minorEastAsia" w:eastAsiaTheme="minorEastAsia"/>
          <w:color w:val="auto"/>
        </w:rPr>
      </w:pPr>
      <w:r>
        <w:rPr>
          <w:rFonts w:hint="eastAsia" w:asciiTheme="minorEastAsia" w:hAnsiTheme="minorEastAsia" w:eastAsiaTheme="minorEastAsia"/>
          <w:color w:val="auto"/>
        </w:rPr>
        <w:t>（2）由公司领导、生产经营科、企业技术中心和生产车间组成评定小组每工作三个月（后简称季度）以打分的</w:t>
      </w:r>
      <w:r>
        <w:rPr>
          <w:rFonts w:hint="eastAsia" w:asciiTheme="minorEastAsia" w:hAnsiTheme="minorEastAsia" w:eastAsiaTheme="minorEastAsia"/>
          <w:color w:val="auto"/>
          <w:lang w:eastAsia="zh-CN"/>
        </w:rPr>
        <w:t>方</w:t>
      </w:r>
      <w:r>
        <w:rPr>
          <w:rFonts w:hint="eastAsia" w:asciiTheme="minorEastAsia" w:hAnsiTheme="minorEastAsia" w:eastAsiaTheme="minorEastAsia"/>
          <w:color w:val="auto"/>
        </w:rPr>
        <w:t>式，进行考核。季度考核最终得分为考核分数之和除以考核人数。</w:t>
      </w:r>
    </w:p>
    <w:p>
      <w:pPr>
        <w:pStyle w:val="2"/>
        <w:rPr>
          <w:rFonts w:hint="eastAsia" w:asciiTheme="minorEastAsia" w:hAnsiTheme="minorEastAsia" w:eastAsiaTheme="minorEastAsia"/>
          <w:color w:val="auto"/>
        </w:rPr>
      </w:pPr>
      <w:r>
        <w:rPr>
          <w:rFonts w:hint="eastAsia" w:asciiTheme="minorEastAsia" w:hAnsiTheme="minorEastAsia" w:eastAsiaTheme="minorEastAsia"/>
          <w:color w:val="auto"/>
        </w:rPr>
        <w:t>结果运用：按季度考核。季度考核分为9</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(含9</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)分--100分，发放全额</w:t>
      </w:r>
      <w:r>
        <w:rPr>
          <w:rFonts w:hint="eastAsia" w:asciiTheme="minorEastAsia" w:hAnsiTheme="minorEastAsia" w:eastAsiaTheme="minorEastAsia"/>
          <w:color w:val="auto"/>
          <w:lang w:eastAsia="zh-CN"/>
        </w:rPr>
        <w:t>绩效考核</w:t>
      </w:r>
      <w:r>
        <w:rPr>
          <w:rFonts w:hint="eastAsia" w:asciiTheme="minorEastAsia" w:hAnsiTheme="minorEastAsia" w:eastAsiaTheme="minorEastAsia"/>
          <w:color w:val="auto"/>
        </w:rPr>
        <w:t>奖；低于9</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分，每</w:t>
      </w:r>
      <w:r>
        <w:rPr>
          <w:rFonts w:hint="eastAsia" w:asciiTheme="minorEastAsia" w:hAnsiTheme="minorEastAsia" w:eastAsiaTheme="minorEastAsia"/>
          <w:color w:val="auto"/>
          <w:lang w:eastAsia="zh-CN"/>
        </w:rPr>
        <w:t>差</w:t>
      </w:r>
      <w:r>
        <w:rPr>
          <w:rFonts w:hint="eastAsia" w:asciiTheme="minorEastAsia" w:hAnsiTheme="minorEastAsia" w:eastAsiaTheme="minorEastAsia"/>
          <w:color w:val="auto"/>
        </w:rPr>
        <w:t>1分</w:t>
      </w:r>
      <w:r>
        <w:rPr>
          <w:rFonts w:hint="eastAsia" w:asciiTheme="minorEastAsia" w:hAnsiTheme="minorEastAsia" w:eastAsiaTheme="minorEastAsia"/>
          <w:color w:val="auto"/>
          <w:lang w:eastAsia="zh-CN"/>
        </w:rPr>
        <w:t>按</w:t>
      </w:r>
      <w:r>
        <w:rPr>
          <w:rFonts w:hint="eastAsia" w:asciiTheme="minorEastAsia" w:hAnsiTheme="minorEastAsia" w:eastAsiaTheme="minorEastAsia"/>
          <w:color w:val="auto"/>
          <w:lang w:val="en-US" w:eastAsia="zh-CN"/>
        </w:rPr>
        <w:t>100</w:t>
      </w:r>
      <w:r>
        <w:rPr>
          <w:rFonts w:hint="eastAsia" w:asciiTheme="minorEastAsia" w:hAnsiTheme="minorEastAsia" w:eastAsiaTheme="minorEastAsia"/>
          <w:color w:val="auto"/>
        </w:rPr>
        <w:t>元</w:t>
      </w:r>
      <w:r>
        <w:rPr>
          <w:rFonts w:hint="eastAsia" w:asciiTheme="minorEastAsia" w:hAnsiTheme="minorEastAsia" w:eastAsiaTheme="minorEastAsia"/>
          <w:color w:val="auto"/>
          <w:lang w:val="en-US" w:eastAsia="zh-CN"/>
        </w:rPr>
        <w:t>/月</w:t>
      </w:r>
      <w:r>
        <w:rPr>
          <w:rFonts w:hint="eastAsia" w:asciiTheme="minorEastAsia" w:hAnsiTheme="minorEastAsia" w:eastAsiaTheme="minorEastAsia"/>
          <w:color w:val="auto"/>
        </w:rPr>
        <w:t>扣减</w:t>
      </w:r>
      <w:r>
        <w:rPr>
          <w:rFonts w:hint="eastAsia" w:asciiTheme="minorEastAsia" w:hAnsiTheme="minorEastAsia" w:eastAsiaTheme="minorEastAsia"/>
          <w:color w:val="auto"/>
          <w:lang w:eastAsia="zh-CN"/>
        </w:rPr>
        <w:t>该考核周期内的绩效考核奖</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合同周期内一次</w:t>
      </w:r>
      <w:r>
        <w:rPr>
          <w:rFonts w:hint="eastAsia" w:asciiTheme="minorEastAsia" w:hAnsiTheme="minorEastAsia" w:eastAsiaTheme="minorEastAsia"/>
          <w:color w:val="auto"/>
        </w:rPr>
        <w:t>考核分低于</w:t>
      </w:r>
      <w:r>
        <w:rPr>
          <w:rFonts w:hint="eastAsia" w:asciiTheme="minorEastAsia" w:hAnsiTheme="minorEastAsia" w:eastAsiaTheme="minorEastAsia"/>
          <w:color w:val="auto"/>
          <w:lang w:val="en-US" w:eastAsia="zh-CN"/>
        </w:rPr>
        <w:t>80</w:t>
      </w:r>
      <w:r>
        <w:rPr>
          <w:rFonts w:hint="eastAsia" w:asciiTheme="minorEastAsia" w:hAnsiTheme="minorEastAsia" w:eastAsiaTheme="minorEastAsia"/>
          <w:color w:val="auto"/>
        </w:rPr>
        <w:t>分</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采购人</w:t>
      </w:r>
      <w:r>
        <w:rPr>
          <w:rFonts w:hint="eastAsia" w:asciiTheme="minorEastAsia" w:hAnsiTheme="minorEastAsia" w:eastAsiaTheme="minorEastAsia"/>
          <w:color w:val="auto"/>
          <w:lang w:eastAsia="zh-CN"/>
        </w:rPr>
        <w:t>可以</w:t>
      </w:r>
      <w:r>
        <w:rPr>
          <w:rFonts w:hint="eastAsia" w:asciiTheme="minorEastAsia" w:hAnsiTheme="minorEastAsia" w:eastAsiaTheme="minorEastAsia"/>
          <w:color w:val="auto"/>
        </w:rPr>
        <w:t>要求供应商更换技术服务人员</w:t>
      </w:r>
      <w:r>
        <w:rPr>
          <w:rFonts w:hint="eastAsia" w:asciiTheme="minorEastAsia" w:hAnsiTheme="minorEastAsia" w:eastAsiaTheme="minorEastAsia"/>
          <w:color w:val="auto"/>
          <w:lang w:eastAsia="zh-CN"/>
        </w:rPr>
        <w:t>；二次</w:t>
      </w:r>
      <w:r>
        <w:rPr>
          <w:rFonts w:hint="eastAsia" w:asciiTheme="minorEastAsia" w:hAnsiTheme="minorEastAsia" w:eastAsiaTheme="minorEastAsia"/>
          <w:color w:val="auto"/>
        </w:rPr>
        <w:t>考核分低于</w:t>
      </w:r>
      <w:r>
        <w:rPr>
          <w:rFonts w:hint="eastAsia" w:asciiTheme="minorEastAsia" w:hAnsiTheme="minorEastAsia" w:eastAsiaTheme="minorEastAsia"/>
          <w:color w:val="auto"/>
          <w:lang w:val="en-US" w:eastAsia="zh-CN"/>
        </w:rPr>
        <w:t>80</w:t>
      </w:r>
      <w:r>
        <w:rPr>
          <w:rFonts w:hint="eastAsia" w:asciiTheme="minorEastAsia" w:hAnsiTheme="minorEastAsia" w:eastAsiaTheme="minorEastAsia"/>
          <w:color w:val="auto"/>
        </w:rPr>
        <w:t>分</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采购人</w:t>
      </w:r>
      <w:r>
        <w:rPr>
          <w:rFonts w:hint="eastAsia" w:asciiTheme="minorEastAsia" w:hAnsiTheme="minorEastAsia" w:eastAsiaTheme="minorEastAsia"/>
          <w:color w:val="auto"/>
          <w:lang w:eastAsia="zh-CN"/>
        </w:rPr>
        <w:t>有权</w:t>
      </w:r>
      <w:r>
        <w:rPr>
          <w:rFonts w:hint="eastAsia" w:asciiTheme="minorEastAsia" w:hAnsiTheme="minorEastAsia" w:eastAsiaTheme="minorEastAsia"/>
          <w:color w:val="auto"/>
        </w:rPr>
        <w:t>解除合同，若采购人解除合同的，供应商需按采购预算金额的</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%向采购人承担违约责任。</w:t>
      </w:r>
    </w:p>
    <w:p>
      <w:pPr>
        <w:pStyle w:val="2"/>
        <w:numPr>
          <w:ilvl w:val="0"/>
          <w:numId w:val="2"/>
        </w:numPr>
        <w:ind w:firstLine="562"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总体服务要求</w:t>
      </w:r>
    </w:p>
    <w:p>
      <w:pPr>
        <w:pStyle w:val="2"/>
        <w:rPr>
          <w:rFonts w:hint="eastAsia"/>
          <w:color w:val="auto"/>
        </w:rPr>
      </w:pPr>
      <w:r>
        <w:rPr>
          <w:rFonts w:hint="eastAsia"/>
          <w:color w:val="auto"/>
        </w:rPr>
        <w:t>1、本项目配备总人数至少1人。服装技术指导：限男性，高中以上文化，身体健康，肢体健全</w:t>
      </w:r>
      <w:r>
        <w:rPr>
          <w:rFonts w:hint="eastAsia"/>
          <w:color w:val="auto"/>
          <w:lang w:eastAsia="zh-CN"/>
        </w:rPr>
        <w:t>；</w:t>
      </w:r>
      <w:r>
        <w:rPr>
          <w:rFonts w:hint="eastAsia"/>
          <w:color w:val="auto"/>
        </w:rPr>
        <w:t>5</w:t>
      </w:r>
      <w:r>
        <w:rPr>
          <w:rFonts w:hint="eastAsia"/>
          <w:color w:val="auto"/>
          <w:lang w:val="en-US" w:eastAsia="zh-CN"/>
        </w:rPr>
        <w:t>5</w:t>
      </w:r>
      <w:r>
        <w:rPr>
          <w:rFonts w:hint="eastAsia"/>
          <w:color w:val="auto"/>
        </w:rPr>
        <w:t>周岁以下（19</w:t>
      </w:r>
      <w:r>
        <w:rPr>
          <w:rFonts w:hint="eastAsia"/>
          <w:color w:val="auto"/>
          <w:lang w:val="en-US" w:eastAsia="zh-CN"/>
        </w:rPr>
        <w:t>70</w:t>
      </w:r>
      <w:r>
        <w:rPr>
          <w:rFonts w:hint="eastAsia"/>
          <w:color w:val="auto"/>
        </w:rPr>
        <w:t>年12月31日以后出生），无犯罪记录</w:t>
      </w:r>
      <w:r>
        <w:rPr>
          <w:rFonts w:hint="eastAsia"/>
          <w:color w:val="auto"/>
          <w:lang w:eastAsia="zh-CN"/>
        </w:rPr>
        <w:t>；</w:t>
      </w:r>
      <w:r>
        <w:rPr>
          <w:rFonts w:hint="eastAsia"/>
          <w:color w:val="auto"/>
        </w:rPr>
        <w:t>具有打板、制模、裁剪、车缝工作经验</w:t>
      </w:r>
      <w:r>
        <w:rPr>
          <w:rFonts w:hint="eastAsia"/>
          <w:color w:val="auto"/>
          <w:lang w:eastAsia="zh-CN"/>
        </w:rPr>
        <w:t>；</w:t>
      </w:r>
      <w:r>
        <w:rPr>
          <w:rFonts w:hint="eastAsia"/>
          <w:color w:val="auto"/>
        </w:rPr>
        <w:t>具有品质管控、现场技术指导、单件流运用、技术创新升级的工作能力</w:t>
      </w:r>
      <w:r>
        <w:rPr>
          <w:rFonts w:hint="eastAsia"/>
          <w:color w:val="auto"/>
          <w:lang w:eastAsia="zh-CN"/>
        </w:rPr>
        <w:t>；</w:t>
      </w:r>
      <w:r>
        <w:rPr>
          <w:rFonts w:hint="eastAsia"/>
          <w:color w:val="auto"/>
        </w:rPr>
        <w:t>从事服装生产</w:t>
      </w:r>
      <w:r>
        <w:rPr>
          <w:rFonts w:hint="eastAsia"/>
          <w:color w:val="auto"/>
          <w:lang w:eastAsia="zh-CN"/>
        </w:rPr>
        <w:t>加工、</w:t>
      </w:r>
      <w:r>
        <w:rPr>
          <w:rFonts w:hint="eastAsia"/>
          <w:color w:val="auto"/>
        </w:rPr>
        <w:t>管理二十年以上</w:t>
      </w:r>
      <w:r>
        <w:rPr>
          <w:rFonts w:hint="eastAsia"/>
          <w:color w:val="auto"/>
          <w:lang w:eastAsia="zh-CN"/>
        </w:rPr>
        <w:t>且</w:t>
      </w:r>
      <w:r>
        <w:rPr>
          <w:rFonts w:hint="eastAsia"/>
          <w:color w:val="auto"/>
        </w:rPr>
        <w:t>具有在监狱企业跟单</w:t>
      </w:r>
      <w:r>
        <w:rPr>
          <w:rFonts w:hint="eastAsia"/>
          <w:color w:val="auto"/>
          <w:lang w:val="en-US" w:eastAsia="zh-CN"/>
        </w:rPr>
        <w:t>5</w:t>
      </w:r>
      <w:r>
        <w:rPr>
          <w:rFonts w:hint="eastAsia"/>
          <w:color w:val="auto"/>
        </w:rPr>
        <w:t>年以上工作经验。</w:t>
      </w:r>
    </w:p>
    <w:p>
      <w:pPr>
        <w:pStyle w:val="2"/>
        <w:rPr>
          <w:bCs/>
          <w:color w:val="auto"/>
        </w:rPr>
      </w:pPr>
      <w:r>
        <w:rPr>
          <w:rFonts w:hint="eastAsia"/>
          <w:bCs/>
          <w:color w:val="auto"/>
        </w:rPr>
        <w:t>2、技术服务内容</w:t>
      </w:r>
    </w:p>
    <w:p>
      <w:pPr>
        <w:pStyle w:val="2"/>
        <w:rPr>
          <w:color w:val="auto"/>
        </w:rPr>
      </w:pPr>
      <w:r>
        <w:rPr>
          <w:rFonts w:hint="eastAsia"/>
          <w:color w:val="auto"/>
        </w:rPr>
        <w:t>服装技术指导服务内容：（1）参与企业QC活动，企业技术升级，培训企业技术中心操作人员，培训预分流人员，培训关键技术岗位人员，来样快速报价和测时；（2）核定唛架、裁剪工艺确认、裁剪安排、裁剪工艺技术升级、成品出厂确认；（3）产前打版、制模、工艺分析、流水线编排、组织产前培训会、产品质量巡检、抽检、品质管控、车缝技术的现场指导和工艺、技术升级改进方案的提出；（4）完成甲方安排的其他工作。</w:t>
      </w:r>
    </w:p>
    <w:p>
      <w:pPr>
        <w:pStyle w:val="2"/>
        <w:rPr>
          <w:bCs/>
          <w:color w:val="auto"/>
        </w:rPr>
      </w:pPr>
      <w:r>
        <w:rPr>
          <w:rFonts w:hint="eastAsia"/>
          <w:bCs/>
          <w:color w:val="auto"/>
        </w:rPr>
        <w:t>3、考核内容</w:t>
      </w:r>
    </w:p>
    <w:p>
      <w:pPr>
        <w:pStyle w:val="2"/>
        <w:rPr>
          <w:color w:val="auto"/>
        </w:rPr>
      </w:pPr>
      <w:r>
        <w:rPr>
          <w:rFonts w:hint="eastAsia"/>
          <w:color w:val="auto"/>
        </w:rPr>
        <w:t>（1）严格遵守企业的各项规章制度，依照企业员工进行管理，纳入公司的日常管理和绩效考核。严守管理制度，违反管理制度，视情节轻重，按规章制度有关条款予以处罚。</w:t>
      </w:r>
    </w:p>
    <w:p>
      <w:pPr>
        <w:pStyle w:val="2"/>
        <w:rPr>
          <w:color w:val="auto"/>
        </w:rPr>
      </w:pPr>
      <w:r>
        <w:rPr>
          <w:rFonts w:hint="eastAsia"/>
          <w:color w:val="auto"/>
        </w:rPr>
        <w:t>（2）参与企业QC活动，并提出合理化建议，负责企业技术升级。</w:t>
      </w:r>
    </w:p>
    <w:p>
      <w:pPr>
        <w:pStyle w:val="2"/>
        <w:rPr>
          <w:color w:val="auto"/>
        </w:rPr>
      </w:pPr>
      <w:r>
        <w:rPr>
          <w:rFonts w:hint="eastAsia"/>
          <w:color w:val="auto"/>
        </w:rPr>
        <w:t>（3）结合市场采用的新生产工艺技术，每月对企业技术中心操作人员、跟单人员培训和关技术岗位人员组织一次技术专题培训，不少于两课时。</w:t>
      </w:r>
    </w:p>
    <w:p>
      <w:pPr>
        <w:pStyle w:val="2"/>
        <w:rPr>
          <w:color w:val="auto"/>
        </w:rPr>
      </w:pPr>
      <w:r>
        <w:rPr>
          <w:rFonts w:hint="eastAsia"/>
          <w:color w:val="auto"/>
        </w:rPr>
        <w:t>（4）根据实际情况组织技术中心人员对预分流人员进行初次培训。</w:t>
      </w:r>
    </w:p>
    <w:p>
      <w:pPr>
        <w:pStyle w:val="2"/>
        <w:rPr>
          <w:color w:val="auto"/>
        </w:rPr>
      </w:pPr>
      <w:r>
        <w:rPr>
          <w:rFonts w:hint="eastAsia"/>
          <w:color w:val="auto"/>
        </w:rPr>
        <w:t>（5）核定每一款裁剪唛架，裁剪工艺确认、裁剪安排等形成书面形式，在组织裁前例会时下达通知。</w:t>
      </w:r>
    </w:p>
    <w:p>
      <w:pPr>
        <w:pStyle w:val="2"/>
        <w:rPr>
          <w:color w:val="auto"/>
        </w:rPr>
      </w:pPr>
      <w:r>
        <w:rPr>
          <w:rFonts w:hint="eastAsia"/>
          <w:color w:val="auto"/>
        </w:rPr>
        <w:t>（6）对所有服装类生产车间产品进行巡检，督促各组操作人员按工艺标准进行缝制生产。每周不少于四次并形成文字记录。</w:t>
      </w:r>
    </w:p>
    <w:p>
      <w:pPr>
        <w:pStyle w:val="2"/>
        <w:rPr>
          <w:color w:val="auto"/>
        </w:rPr>
      </w:pPr>
      <w:r>
        <w:rPr>
          <w:rFonts w:hint="eastAsia"/>
          <w:color w:val="auto"/>
        </w:rPr>
        <w:t>（7）新款上线制作产前样、确定生产工艺、模板制作、开款前对生产缝制操作人员进行辅导，开款后进行巡检和半成品抽检，并形成文字记录。</w:t>
      </w:r>
    </w:p>
    <w:p>
      <w:pPr>
        <w:pStyle w:val="2"/>
        <w:rPr>
          <w:color w:val="auto"/>
        </w:rPr>
      </w:pPr>
      <w:r>
        <w:rPr>
          <w:rFonts w:hint="eastAsia"/>
          <w:color w:val="auto"/>
        </w:rPr>
        <w:t>（8）来样快速报价。</w:t>
      </w:r>
    </w:p>
    <w:p>
      <w:pPr>
        <w:pStyle w:val="2"/>
        <w:rPr>
          <w:color w:val="auto"/>
        </w:rPr>
      </w:pPr>
      <w:r>
        <w:rPr>
          <w:rFonts w:hint="eastAsia"/>
          <w:color w:val="auto"/>
        </w:rPr>
        <w:t>（9）根据标准样衣制定质量标准，制定工艺流程，在开款前组织跟单员和生产线技术骨干召开产前会。</w:t>
      </w:r>
    </w:p>
    <w:p>
      <w:pPr>
        <w:pStyle w:val="2"/>
        <w:rPr>
          <w:color w:val="auto"/>
        </w:rPr>
      </w:pPr>
      <w:r>
        <w:rPr>
          <w:rFonts w:hint="eastAsia"/>
          <w:color w:val="auto"/>
        </w:rPr>
        <w:t>（10）按期组织企业技术中心跟单员培训，主要根据样衣、工艺制单、质量标准对照跟单过程出现的问题进行培训。</w:t>
      </w:r>
    </w:p>
    <w:p>
      <w:pPr>
        <w:pStyle w:val="2"/>
        <w:rPr>
          <w:color w:val="auto"/>
        </w:rPr>
      </w:pPr>
      <w:r>
        <w:rPr>
          <w:rFonts w:hint="eastAsia"/>
          <w:color w:val="auto"/>
        </w:rPr>
        <w:t>（11）工作日填写生产线上质量、品质管理的工作报告。</w:t>
      </w:r>
    </w:p>
    <w:p>
      <w:pP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14:textFill>
            <w14:solidFill>
              <w14:schemeClr w14:val="tx1"/>
            </w14:solidFill>
          </w14:textFill>
        </w:rPr>
        <w:t>（四）、其它要求</w:t>
      </w:r>
    </w:p>
    <w:p>
      <w:pP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1.技术服务人员应严格遵守保密工作，不得泄露采购人一切保密内容，主动与采购人签订保密协议。</w:t>
      </w:r>
    </w:p>
    <w:p>
      <w:pP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2.技术服务人员应严格遵守采购人各项管理制度，确保在服务时间及时到岗到位，有事需向主管部门请假经同意后方可离开；若违反管理制度，当月考核时应按每次1分进行扣减。</w:t>
      </w:r>
    </w:p>
    <w:p>
      <w:pP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3.技术服务人员在服务过程中给采购人造成重大损失的，供应商应赔偿采购人损失，同时，采购人有权解除合同。</w:t>
      </w:r>
    </w:p>
    <w:p>
      <w:pP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4.供应商与技术服务人员应依法建立劳动关系，必须为技术服务人员缴纳社会保险、按时足额支付工资。在服务过程中引起的各类纠纷（包括技术人员工资、劳动关系、社会保险、工伤等）均由供应商负责承担责任和经济赔偿，由此造成采购人经济以及其它损失和影响的，由供应商承担赔偿责任，包括但不限于直接及间接经济损失、采购人被第三方追责产生的损失、采购人因维权产生的律师费、诉讼费、公证费、调查费、差旅费等。</w:t>
      </w:r>
    </w:p>
    <w:p>
      <w:pP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5.供应商应确保技术服务人员的稳定性，如需更换人员，必须提前30日向采购人提出，并经采购人书面同意后方可更换，否则，按采购预算金额的10%向采购人承担违约责任。</w:t>
      </w:r>
    </w:p>
    <w:p>
      <w:pPr>
        <w:pStyle w:val="11"/>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（五）、未尽事宜合同约定。</w:t>
      </w:r>
    </w:p>
    <w:p>
      <w:pPr>
        <w:rPr>
          <w:rFonts w:hint="eastAsia" w:asciiTheme="majorEastAsia" w:hAnsiTheme="majorEastAsia" w:eastAsiaTheme="majorEastAsia" w:cstheme="majorEastAsia"/>
          <w:color w:val="000000" w:themeColor="text1"/>
          <w14:textFill>
            <w14:solidFill>
              <w14:schemeClr w14:val="tx1"/>
            </w14:solidFill>
          </w14:textFill>
        </w:rPr>
      </w:pPr>
    </w:p>
    <w:p>
      <w:pPr>
        <w:pStyle w:val="2"/>
        <w:rPr>
          <w:rFonts w:hint="eastAsia" w:asciiTheme="majorEastAsia" w:hAnsiTheme="majorEastAsia" w:eastAsiaTheme="majorEastAsia" w:cstheme="majorEastAsia"/>
          <w:color w:val="000000" w:themeColor="text1"/>
          <w14:textFill>
            <w14:solidFill>
              <w14:schemeClr w14:val="tx1"/>
            </w14:solidFill>
          </w14:textFill>
        </w:rPr>
      </w:pPr>
    </w:p>
    <w:p>
      <w:pPr>
        <w:pStyle w:val="3"/>
        <w:rPr>
          <w:rFonts w:hint="eastAsia"/>
        </w:rPr>
      </w:pPr>
    </w:p>
    <w:p>
      <w:pPr>
        <w:numPr>
          <w:ilvl w:val="0"/>
          <w:numId w:val="0"/>
        </w:numPr>
        <w:spacing w:line="360" w:lineRule="auto"/>
        <w:jc w:val="center"/>
        <w:rPr>
          <w:rFonts w:hint="eastAsia" w:asciiTheme="majorEastAsia" w:hAnsiTheme="majorEastAsia" w:eastAsiaTheme="majorEastAsia" w:cstheme="majorEastAsia"/>
          <w:b/>
          <w:snapToGrid w:val="0"/>
          <w:sz w:val="44"/>
          <w:szCs w:val="44"/>
          <w:lang w:eastAsia="zh-CN"/>
        </w:rPr>
      </w:pPr>
    </w:p>
    <w:p>
      <w:pPr>
        <w:numPr>
          <w:ilvl w:val="0"/>
          <w:numId w:val="0"/>
        </w:numPr>
        <w:spacing w:line="360" w:lineRule="auto"/>
        <w:jc w:val="center"/>
        <w:rPr>
          <w:rFonts w:hint="eastAsia" w:asciiTheme="majorEastAsia" w:hAnsiTheme="majorEastAsia" w:eastAsiaTheme="majorEastAsia" w:cstheme="majorEastAsia"/>
          <w:b/>
          <w:snapToGrid w:val="0"/>
          <w:sz w:val="44"/>
          <w:szCs w:val="44"/>
          <w:lang w:eastAsia="zh-CN"/>
        </w:rPr>
      </w:pPr>
      <w:r>
        <w:rPr>
          <w:rFonts w:hint="eastAsia" w:asciiTheme="majorEastAsia" w:hAnsiTheme="majorEastAsia" w:eastAsiaTheme="majorEastAsia" w:cstheme="majorEastAsia"/>
          <w:b/>
          <w:snapToGrid w:val="0"/>
          <w:sz w:val="44"/>
          <w:szCs w:val="44"/>
          <w:lang w:eastAsia="zh-CN"/>
        </w:rPr>
        <w:t>第三部分</w:t>
      </w:r>
      <w:r>
        <w:rPr>
          <w:rFonts w:hint="eastAsia" w:asciiTheme="majorEastAsia" w:hAnsiTheme="majorEastAsia" w:eastAsiaTheme="majorEastAsia" w:cstheme="majorEastAsia"/>
          <w:b/>
          <w:snapToGrid w:val="0"/>
          <w:sz w:val="44"/>
          <w:szCs w:val="44"/>
          <w:lang w:val="en-US" w:eastAsia="zh-CN"/>
        </w:rPr>
        <w:t xml:space="preserve"> </w:t>
      </w:r>
      <w:r>
        <w:rPr>
          <w:rFonts w:hint="eastAsia" w:asciiTheme="majorEastAsia" w:hAnsiTheme="majorEastAsia" w:eastAsiaTheme="majorEastAsia" w:cstheme="majorEastAsia"/>
          <w:b/>
          <w:snapToGrid w:val="0"/>
          <w:sz w:val="44"/>
          <w:szCs w:val="44"/>
          <w:lang w:eastAsia="zh-CN"/>
        </w:rPr>
        <w:t>投标人须知和评审</w:t>
      </w:r>
    </w:p>
    <w:p>
      <w:pPr>
        <w:pStyle w:val="2"/>
        <w:rPr>
          <w:rFonts w:hint="eastAsia" w:eastAsia="宋体"/>
          <w:lang w:eastAsia="zh-CN"/>
        </w:rPr>
      </w:pPr>
      <w:r>
        <w:rPr>
          <w:rStyle w:val="25"/>
          <w:rFonts w:hint="eastAsia"/>
          <w:sz w:val="28"/>
          <w:szCs w:val="28"/>
          <w:lang w:eastAsia="zh-CN"/>
        </w:rPr>
        <w:t>一、投标人须知前附表</w:t>
      </w:r>
    </w:p>
    <w:tbl>
      <w:tblPr>
        <w:tblStyle w:val="13"/>
        <w:tblW w:w="97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35"/>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 容</w:t>
            </w:r>
          </w:p>
        </w:tc>
        <w:tc>
          <w:tcPr>
            <w:tcW w:w="6222" w:type="dxa"/>
            <w:noWrap/>
            <w:vAlign w:val="center"/>
          </w:tcPr>
          <w:p>
            <w:pPr>
              <w:tabs>
                <w:tab w:val="left" w:pos="7665"/>
              </w:tabs>
              <w:snapToGrid w:val="0"/>
              <w:spacing w:line="24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222" w:type="dxa"/>
            <w:noWrap/>
            <w:vAlign w:val="center"/>
          </w:tcPr>
          <w:p>
            <w:pPr>
              <w:tabs>
                <w:tab w:val="left" w:pos="7665"/>
              </w:tabs>
              <w:snapToGrid w:val="0"/>
              <w:spacing w:line="240" w:lineRule="exact"/>
              <w:ind w:left="1400" w:hanging="14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4"/>
                <w:szCs w:val="24"/>
              </w:rPr>
              <w:t>四川省南宝山服饰有限公司</w:t>
            </w:r>
            <w:r>
              <w:rPr>
                <w:rFonts w:hint="eastAsia" w:asciiTheme="minorEastAsia" w:hAnsiTheme="minorEastAsia" w:eastAsiaTheme="minorEastAsia" w:cstheme="minorEastAsia"/>
                <w:bCs/>
                <w:kern w:val="0"/>
                <w:sz w:val="24"/>
                <w:szCs w:val="24"/>
                <w:lang w:val="en-US" w:eastAsia="zh-CN"/>
              </w:rPr>
              <w:t>2025年服装技术指导服务外包</w:t>
            </w:r>
            <w:r>
              <w:rPr>
                <w:rFonts w:hint="eastAsia" w:asciiTheme="minorEastAsia" w:hAnsiTheme="minorEastAsia" w:eastAsiaTheme="minorEastAsia" w:cstheme="minorEastAsia"/>
                <w:sz w:val="24"/>
                <w:szCs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项目分包及说明</w:t>
            </w:r>
          </w:p>
        </w:tc>
        <w:tc>
          <w:tcPr>
            <w:tcW w:w="6222" w:type="dxa"/>
            <w:noWrap/>
            <w:vAlign w:val="center"/>
          </w:tcPr>
          <w:p>
            <w:pPr>
              <w:spacing w:line="24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222"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投标有效期：开标后</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投标文件的组成</w:t>
            </w:r>
          </w:p>
        </w:tc>
        <w:tc>
          <w:tcPr>
            <w:tcW w:w="6222" w:type="dxa"/>
            <w:noWrap/>
            <w:vAlign w:val="center"/>
          </w:tcPr>
          <w:p>
            <w:pPr>
              <w:tabs>
                <w:tab w:val="left" w:pos="7665"/>
              </w:tabs>
              <w:snapToGrid w:val="0"/>
              <w:spacing w:line="24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获取磋商文件时间与地点</w:t>
            </w:r>
          </w:p>
        </w:tc>
        <w:tc>
          <w:tcPr>
            <w:tcW w:w="6222"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递交投标文件的时间与地点</w:t>
            </w:r>
          </w:p>
        </w:tc>
        <w:tc>
          <w:tcPr>
            <w:tcW w:w="6222"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开标时间与开标地点</w:t>
            </w:r>
          </w:p>
        </w:tc>
        <w:tc>
          <w:tcPr>
            <w:tcW w:w="6222" w:type="dxa"/>
            <w:noWrap/>
            <w:vAlign w:val="center"/>
          </w:tcPr>
          <w:p>
            <w:pPr>
              <w:widowControl/>
              <w:spacing w:line="2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磋商被邀请供应商数量</w:t>
            </w:r>
          </w:p>
        </w:tc>
        <w:tc>
          <w:tcPr>
            <w:tcW w:w="6222" w:type="dxa"/>
            <w:noWrap/>
            <w:vAlign w:val="center"/>
          </w:tcPr>
          <w:p>
            <w:pPr>
              <w:widowControl/>
              <w:spacing w:line="24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设置成交供应商数量</w:t>
            </w:r>
          </w:p>
        </w:tc>
        <w:tc>
          <w:tcPr>
            <w:tcW w:w="6222" w:type="dxa"/>
            <w:noWrap/>
            <w:vAlign w:val="center"/>
          </w:tcPr>
          <w:p>
            <w:pPr>
              <w:widowControl/>
              <w:spacing w:line="24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报价最高限价</w:t>
            </w:r>
          </w:p>
        </w:tc>
        <w:tc>
          <w:tcPr>
            <w:tcW w:w="6222" w:type="dxa"/>
            <w:noWrap/>
            <w:vAlign w:val="center"/>
          </w:tcPr>
          <w:p>
            <w:pPr>
              <w:widowControl/>
              <w:spacing w:line="240" w:lineRule="exact"/>
              <w:jc w:val="left"/>
              <w:rPr>
                <w:rFonts w:hint="default"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eastAsia="zh-CN"/>
              </w:rPr>
              <w:t>166000.00元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中标条件</w:t>
            </w:r>
          </w:p>
        </w:tc>
        <w:tc>
          <w:tcPr>
            <w:tcW w:w="6222" w:type="dxa"/>
            <w:noWrap/>
            <w:vAlign w:val="center"/>
          </w:tcPr>
          <w:p>
            <w:pPr>
              <w:widowControl/>
              <w:spacing w:line="240" w:lineRule="exact"/>
              <w:jc w:val="left"/>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采用综合评分法，得分最高的为中标单位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投标文件包装和密封</w:t>
            </w:r>
          </w:p>
        </w:tc>
        <w:tc>
          <w:tcPr>
            <w:tcW w:w="6222" w:type="dxa"/>
            <w:noWrap/>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投标人按竞争性磋商文件编制投标文件，投标文件应当包装。包装应在其封套的封口处加贴封条，并在封套的封口处加盖投标人单位章（鲜章）。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0" w:type="dxa"/>
            <w:noWrap/>
            <w:vAlign w:val="center"/>
          </w:tcPr>
          <w:p>
            <w:pPr>
              <w:tabs>
                <w:tab w:val="left" w:pos="7665"/>
              </w:tabs>
              <w:snapToGrid w:val="0"/>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835" w:type="dxa"/>
            <w:noWrap/>
            <w:vAlign w:val="center"/>
          </w:tcPr>
          <w:p>
            <w:pPr>
              <w:tabs>
                <w:tab w:val="left" w:pos="7665"/>
              </w:tabs>
              <w:snapToGrid w:val="0"/>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其他约定</w:t>
            </w:r>
          </w:p>
        </w:tc>
        <w:tc>
          <w:tcPr>
            <w:tcW w:w="6222" w:type="dxa"/>
            <w:noWrap/>
            <w:vAlign w:val="center"/>
          </w:tcPr>
          <w:p>
            <w:pPr>
              <w:spacing w:line="24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磋商评比排名确定后，排名第一的企业出现二家或二家以上，如评审得分相同，报价不一致的，由报价最低的中选；如果评审得分相同，报价也相同，则现场通过抽签方式确定供应商。</w:t>
            </w:r>
          </w:p>
        </w:tc>
      </w:tr>
    </w:tbl>
    <w:p>
      <w:pPr>
        <w:spacing w:line="400" w:lineRule="exac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 评审</w:t>
      </w:r>
    </w:p>
    <w:p>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rPr>
        <w:t>监狱</w:t>
      </w:r>
      <w:r>
        <w:rPr>
          <w:rFonts w:hint="eastAsia" w:asciiTheme="minorEastAsia" w:hAnsiTheme="minorEastAsia" w:eastAsiaTheme="minorEastAsia" w:cstheme="minorEastAsia"/>
          <w:b/>
        </w:rPr>
        <w:t>成立磋商评审小组：</w:t>
      </w:r>
    </w:p>
    <w:p>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根据本次采购项目的性质依法成立磋商评审小组。</w:t>
      </w:r>
    </w:p>
    <w:p>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（二）评审原则：</w:t>
      </w:r>
    </w:p>
    <w:p>
      <w:pPr>
        <w:spacing w:line="400" w:lineRule="exact"/>
        <w:ind w:firstLine="28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1.严格遵守公平、公正、择优的原则；</w:t>
      </w:r>
    </w:p>
    <w:p>
      <w:pPr>
        <w:spacing w:line="400" w:lineRule="exact"/>
        <w:ind w:firstLine="28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2.对所有响应磋商通知书实质性要求的报价方一视同仁；</w:t>
      </w:r>
    </w:p>
    <w:p>
      <w:pPr>
        <w:spacing w:line="400" w:lineRule="exact"/>
        <w:ind w:firstLine="28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3.根据符合采购需求、不超过我方最高限价，</w:t>
      </w:r>
      <w:r>
        <w:rPr>
          <w:rFonts w:hint="eastAsia" w:asciiTheme="minorEastAsia" w:hAnsiTheme="minorEastAsia" w:eastAsiaTheme="minorEastAsia" w:cstheme="minorEastAsia"/>
          <w:color w:val="FF0000"/>
        </w:rPr>
        <w:t>评审得分排序第一的原则确定为成交供应商</w:t>
      </w:r>
      <w:r>
        <w:rPr>
          <w:rFonts w:hint="eastAsia" w:asciiTheme="minorEastAsia" w:hAnsiTheme="minorEastAsia" w:eastAsiaTheme="minorEastAsia" w:cstheme="minorEastAsia"/>
        </w:rPr>
        <w:t>（磋商小组认定报价低于成本价的除外）。评分结果出现并列情况按照第二章投标人须知前附表第13条执行。</w:t>
      </w:r>
    </w:p>
    <w:p>
      <w:pPr>
        <w:rPr>
          <w:rFonts w:hint="eastAsia" w:eastAsiaTheme="majorEastAsia"/>
          <w:lang w:eastAsia="zh-CN"/>
        </w:rPr>
      </w:pPr>
    </w:p>
    <w:p>
      <w:pPr>
        <w:spacing w:line="580" w:lineRule="exact"/>
        <w:ind w:right="720"/>
        <w:rPr>
          <w:rFonts w:asciiTheme="majorEastAsia" w:hAnsiTheme="majorEastAsia" w:eastAsiaTheme="majorEastAsia" w:cstheme="majorEastAsia"/>
          <w:b/>
          <w:bCs/>
          <w:snapToGrid w:val="0"/>
          <w:color w:val="000000" w:themeColor="text1"/>
          <w14:textFill>
            <w14:solidFill>
              <w14:schemeClr w14:val="tx1"/>
            </w14:solidFill>
          </w14:textFill>
        </w:rPr>
      </w:pPr>
      <w:r>
        <w:rPr>
          <w:rFonts w:hint="eastAsia" w:asciiTheme="majorEastAsia" w:hAnsiTheme="majorEastAsia" w:eastAsiaTheme="majorEastAsia" w:cstheme="majorEastAsia"/>
          <w:b/>
          <w:bCs/>
          <w:snapToGrid w:val="0"/>
          <w:color w:val="000000" w:themeColor="text1"/>
          <w14:textFill>
            <w14:solidFill>
              <w14:schemeClr w14:val="tx1"/>
            </w14:solidFill>
          </w14:textFill>
        </w:rPr>
        <w:t>三、</w:t>
      </w:r>
      <w:r>
        <w:rPr>
          <w:rFonts w:hint="eastAsia" w:asciiTheme="majorEastAsia" w:hAnsiTheme="majorEastAsia" w:eastAsiaTheme="majorEastAsia" w:cstheme="majorEastAsia"/>
          <w:b/>
          <w:bCs/>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b/>
          <w:bCs/>
          <w:snapToGrid w:val="0"/>
          <w:color w:val="000000" w:themeColor="text1"/>
          <w14:textFill>
            <w14:solidFill>
              <w14:schemeClr w14:val="tx1"/>
            </w14:solidFill>
          </w14:textFill>
        </w:rPr>
        <w:t>评选方式</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1.被邀请供应商按照</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文件内容编制投标文件，编制完成的投标文件用文件袋包装，在封套封口处加盖鲜章，</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当天向</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人提交。投标文件只需正本一份。</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2.实质性审查：</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人对被邀请供应商所提交资质证明文件进行实质性审查，供应商资质符合项目要求的，才能进入报价部分评审；资质不符合项目要求的，为废标。 </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3.二次报价：符合条件的供应商在</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结束后进行二次报价，</w:t>
      </w:r>
      <w:r>
        <w:rPr>
          <w:rFonts w:hint="eastAsia" w:asciiTheme="majorEastAsia" w:hAnsiTheme="majorEastAsia" w:eastAsiaTheme="majorEastAsia" w:cstheme="majorEastAsia"/>
          <w:snapToGrid w:val="0"/>
          <w:color w:val="000000" w:themeColor="text1"/>
          <w:lang w:val="en-US" w:eastAsia="zh-CN"/>
          <w14:textFill>
            <w14:solidFill>
              <w14:schemeClr w14:val="tx1"/>
            </w14:solidFill>
          </w14:textFill>
        </w:rPr>
        <w:t>以供应商</w:t>
      </w:r>
      <w:r>
        <w:rPr>
          <w:rFonts w:hint="eastAsia" w:asciiTheme="majorEastAsia" w:hAnsiTheme="majorEastAsia" w:eastAsiaTheme="majorEastAsia" w:cstheme="majorEastAsia"/>
          <w:snapToGrid w:val="0"/>
          <w:color w:val="000000" w:themeColor="text1"/>
          <w14:textFill>
            <w14:solidFill>
              <w14:schemeClr w14:val="tx1"/>
            </w14:solidFill>
          </w14:textFill>
        </w:rPr>
        <w:t>二次报价</w:t>
      </w:r>
      <w:r>
        <w:rPr>
          <w:rFonts w:hint="eastAsia" w:asciiTheme="majorEastAsia" w:hAnsiTheme="majorEastAsia" w:eastAsiaTheme="majorEastAsia" w:cstheme="majorEastAsia"/>
          <w:snapToGrid w:val="0"/>
          <w:color w:val="000000" w:themeColor="text1"/>
          <w:lang w:val="en-US" w:eastAsia="zh-CN"/>
          <w14:textFill>
            <w14:solidFill>
              <w14:schemeClr w14:val="tx1"/>
            </w14:solidFill>
          </w14:textFill>
        </w:rPr>
        <w:t>作为评分价格，综合评分最高</w:t>
      </w:r>
      <w:r>
        <w:rPr>
          <w:rFonts w:hint="eastAsia" w:asciiTheme="majorEastAsia" w:hAnsiTheme="majorEastAsia" w:eastAsiaTheme="majorEastAsia" w:cstheme="majorEastAsia"/>
          <w:snapToGrid w:val="0"/>
          <w:color w:val="000000" w:themeColor="text1"/>
          <w14:textFill>
            <w14:solidFill>
              <w14:schemeClr w14:val="tx1"/>
            </w14:solidFill>
          </w14:textFill>
        </w:rPr>
        <w:t xml:space="preserve">的供应商为中标人。   </w:t>
      </w:r>
    </w:p>
    <w:p>
      <w:pPr>
        <w:spacing w:line="580" w:lineRule="exact"/>
        <w:ind w:right="720" w:firstLine="560" w:firstLineChars="200"/>
        <w:rPr>
          <w:rFonts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4.</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人向所有供应商当场宣布评比结果，宣布</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结束。</w:t>
      </w:r>
    </w:p>
    <w:p>
      <w:pPr>
        <w:spacing w:line="580" w:lineRule="exact"/>
        <w:ind w:right="720" w:firstLine="560" w:firstLineChars="200"/>
        <w:rPr>
          <w:rFonts w:hint="eastAsia" w:asciiTheme="majorEastAsia" w:hAnsiTheme="majorEastAsia" w:eastAsiaTheme="majorEastAsia" w:cstheme="majorEastAsia"/>
          <w:snapToGrid w:val="0"/>
          <w:color w:val="000000" w:themeColor="text1"/>
          <w14:textFill>
            <w14:solidFill>
              <w14:schemeClr w14:val="tx1"/>
            </w14:solidFill>
          </w14:textFill>
        </w:rPr>
      </w:pPr>
      <w:r>
        <w:rPr>
          <w:rFonts w:hint="eastAsia" w:asciiTheme="majorEastAsia" w:hAnsiTheme="majorEastAsia" w:eastAsiaTheme="majorEastAsia" w:cstheme="majorEastAsia"/>
          <w:snapToGrid w:val="0"/>
          <w:color w:val="000000" w:themeColor="text1"/>
          <w14:textFill>
            <w14:solidFill>
              <w14:schemeClr w14:val="tx1"/>
            </w14:solidFill>
          </w14:textFill>
        </w:rPr>
        <w:t>5．经过</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确定中选候选人后，</w:t>
      </w:r>
      <w:r>
        <w:rPr>
          <w:rFonts w:hint="eastAsia" w:asciiTheme="majorEastAsia" w:hAnsiTheme="majorEastAsia" w:eastAsiaTheme="majorEastAsia" w:cstheme="majorEastAsia"/>
          <w:snapToGrid w:val="0"/>
          <w:color w:val="000000" w:themeColor="text1"/>
          <w:lang w:eastAsia="zh-CN"/>
          <w14:textFill>
            <w14:solidFill>
              <w14:schemeClr w14:val="tx1"/>
            </w14:solidFill>
          </w14:textFill>
        </w:rPr>
        <w:t>磋商</w:t>
      </w:r>
      <w:r>
        <w:rPr>
          <w:rFonts w:hint="eastAsia" w:asciiTheme="majorEastAsia" w:hAnsiTheme="majorEastAsia" w:eastAsiaTheme="majorEastAsia" w:cstheme="majorEastAsia"/>
          <w:snapToGrid w:val="0"/>
          <w:color w:val="000000" w:themeColor="text1"/>
          <w14:textFill>
            <w14:solidFill>
              <w14:schemeClr w14:val="tx1"/>
            </w14:solidFill>
          </w14:textFill>
        </w:rPr>
        <w:t>人不对其他未中选的被邀请人，就评比过程和未能中选原因作任何解释。</w:t>
      </w:r>
    </w:p>
    <w:p>
      <w:pPr>
        <w:rPr>
          <w:rFonts w:hint="eastAsia" w:asciiTheme="majorEastAsia" w:hAnsiTheme="majorEastAsia" w:eastAsiaTheme="majorEastAsia" w:cstheme="majorEastAsia"/>
          <w:b/>
          <w:bCs/>
          <w:snapToGrid w:val="0"/>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lang w:val="en-US" w:eastAsia="zh-CN"/>
          <w14:textFill>
            <w14:solidFill>
              <w14:schemeClr w14:val="tx1"/>
            </w14:solidFill>
          </w14:textFill>
        </w:rPr>
        <w:br w:type="page"/>
      </w:r>
    </w:p>
    <w:p>
      <w:pPr>
        <w:spacing w:line="580" w:lineRule="exact"/>
        <w:ind w:right="720"/>
        <w:rPr>
          <w:rFonts w:hint="eastAsia" w:asciiTheme="majorEastAsia" w:hAnsiTheme="majorEastAsia" w:eastAsiaTheme="majorEastAsia" w:cstheme="majorEastAsia"/>
          <w:b/>
          <w:bCs/>
          <w:snapToGrid w:val="0"/>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bCs/>
          <w:snapToGrid w:val="0"/>
          <w:color w:val="000000" w:themeColor="text1"/>
          <w:lang w:val="en-US" w:eastAsia="zh-CN"/>
          <w14:textFill>
            <w14:solidFill>
              <w14:schemeClr w14:val="tx1"/>
            </w14:solidFill>
          </w14:textFill>
        </w:rPr>
        <w:t>四、评标细则及标准</w:t>
      </w:r>
    </w:p>
    <w:p>
      <w:pPr>
        <w:numPr>
          <w:ilvl w:val="0"/>
          <w:numId w:val="0"/>
        </w:num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磋商评审小组根据供应商提供二次报价和提供投标资料进行评审，本项目采用综合评分法，评分标准见下表：</w:t>
      </w:r>
    </w:p>
    <w:tbl>
      <w:tblPr>
        <w:tblStyle w:val="13"/>
        <w:tblpPr w:leftFromText="180" w:rightFromText="180" w:vertAnchor="text" w:horzAnchor="page" w:tblpX="1167" w:tblpY="540"/>
        <w:tblOverlap w:val="never"/>
        <w:tblW w:w="0" w:type="auto"/>
        <w:tblInd w:w="0" w:type="dxa"/>
        <w:tblLayout w:type="fixed"/>
        <w:tblCellMar>
          <w:top w:w="0" w:type="dxa"/>
          <w:left w:w="10" w:type="dxa"/>
          <w:bottom w:w="0" w:type="dxa"/>
          <w:right w:w="10" w:type="dxa"/>
        </w:tblCellMar>
      </w:tblPr>
      <w:tblGrid>
        <w:gridCol w:w="655"/>
        <w:gridCol w:w="1056"/>
        <w:gridCol w:w="655"/>
        <w:gridCol w:w="5908"/>
        <w:gridCol w:w="1326"/>
      </w:tblGrid>
      <w:tr>
        <w:tblPrEx>
          <w:tblCellMar>
            <w:top w:w="0" w:type="dxa"/>
            <w:left w:w="10" w:type="dxa"/>
            <w:bottom w:w="0" w:type="dxa"/>
            <w:right w:w="10" w:type="dxa"/>
          </w:tblCellMar>
        </w:tblPrEx>
        <w:trPr>
          <w:cantSplit/>
          <w:trHeight w:val="90" w:hRule="atLeast"/>
        </w:trPr>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jc w:val="center"/>
              <w:rPr>
                <w:rFonts w:ascii="宋体" w:hAnsi="宋体" w:cs="仿宋"/>
                <w:sz w:val="22"/>
              </w:rPr>
            </w:pPr>
            <w:r>
              <w:rPr>
                <w:rFonts w:hint="eastAsia" w:ascii="宋体" w:hAnsi="宋体" w:cs="仿宋"/>
                <w:sz w:val="22"/>
              </w:rPr>
              <w:t>序号</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sz w:val="22"/>
              </w:rPr>
            </w:pPr>
            <w:r>
              <w:rPr>
                <w:rFonts w:hint="eastAsia" w:ascii="宋体" w:hAnsi="宋体" w:cs="仿宋"/>
                <w:sz w:val="22"/>
              </w:rPr>
              <w:t>评分因素及权重</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sz w:val="22"/>
              </w:rPr>
            </w:pPr>
            <w:r>
              <w:rPr>
                <w:rFonts w:hint="eastAsia" w:ascii="宋体" w:hAnsi="宋体" w:cs="仿宋"/>
                <w:sz w:val="22"/>
              </w:rPr>
              <w:t>分值</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sz w:val="22"/>
              </w:rPr>
            </w:pPr>
            <w:r>
              <w:rPr>
                <w:rFonts w:hint="eastAsia" w:ascii="宋体" w:hAnsi="宋体" w:cs="仿宋"/>
                <w:sz w:val="22"/>
              </w:rPr>
              <w:t>评分标准</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sz w:val="22"/>
              </w:rPr>
            </w:pPr>
            <w:r>
              <w:rPr>
                <w:rFonts w:hint="eastAsia" w:ascii="宋体" w:hAnsi="宋体" w:cs="仿宋"/>
                <w:sz w:val="22"/>
              </w:rPr>
              <w:t>说明</w:t>
            </w:r>
          </w:p>
        </w:tc>
      </w:tr>
      <w:tr>
        <w:tblPrEx>
          <w:tblCellMar>
            <w:top w:w="0" w:type="dxa"/>
            <w:left w:w="10" w:type="dxa"/>
            <w:bottom w:w="0" w:type="dxa"/>
            <w:right w:w="10" w:type="dxa"/>
          </w:tblCellMar>
        </w:tblPrEx>
        <w:trPr>
          <w:trHeight w:val="1430" w:hRule="atLeast"/>
        </w:trPr>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1</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报价</w:t>
            </w:r>
            <w:r>
              <w:rPr>
                <w:rFonts w:hint="eastAsia" w:ascii="宋体" w:hAnsi="宋体" w:cs="仿宋"/>
                <w:color w:val="000000" w:themeColor="text1"/>
                <w:sz w:val="22"/>
                <w:lang w:val="en-US" w:eastAsia="zh-CN"/>
                <w14:textFill>
                  <w14:solidFill>
                    <w14:schemeClr w14:val="tx1"/>
                  </w14:solidFill>
                </w14:textFill>
              </w:rPr>
              <w:t>15</w:t>
            </w:r>
            <w:r>
              <w:rPr>
                <w:rFonts w:hint="eastAsia" w:ascii="宋体" w:hAnsi="宋体" w:cs="仿宋"/>
                <w:color w:val="000000" w:themeColor="text1"/>
                <w:sz w:val="22"/>
                <w14:textFill>
                  <w14:solidFill>
                    <w14:schemeClr w14:val="tx1"/>
                  </w14:solidFill>
                </w14:textFill>
              </w:rPr>
              <w:t>%</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lang w:val="en-US" w:eastAsia="zh-CN"/>
                <w14:textFill>
                  <w14:solidFill>
                    <w14:schemeClr w14:val="tx1"/>
                  </w14:solidFill>
                </w14:textFill>
              </w:rPr>
              <w:t>15</w:t>
            </w:r>
            <w:r>
              <w:rPr>
                <w:rFonts w:hint="eastAsia" w:ascii="宋体" w:hAnsi="宋体" w:cs="仿宋"/>
                <w:color w:val="000000" w:themeColor="text1"/>
                <w:sz w:val="22"/>
                <w14:textFill>
                  <w14:solidFill>
                    <w14:schemeClr w14:val="tx1"/>
                  </w14:solidFill>
                </w14:textFill>
              </w:rPr>
              <w:t>分</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满足招标文件要求且投标价格最低的报价为基准价，其价格分为满分。其他供应商的价格分统一按照下列公式计算：报价得分=(基准价／报价)*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lang w:val="zh-CN"/>
                <w14:textFill>
                  <w14:solidFill>
                    <w14:schemeClr w14:val="tx1"/>
                  </w14:solidFill>
                </w14:textFill>
              </w:rPr>
              <w:t>共同评分因</w:t>
            </w:r>
            <w:r>
              <w:rPr>
                <w:rFonts w:hint="eastAsia" w:ascii="宋体" w:hAnsi="宋体" w:cs="仿宋"/>
                <w:color w:val="000000" w:themeColor="text1"/>
                <w:sz w:val="22"/>
                <w14:textFill>
                  <w14:solidFill>
                    <w14:schemeClr w14:val="tx1"/>
                  </w14:solidFill>
                </w14:textFill>
              </w:rPr>
              <w:t xml:space="preserve"> </w:t>
            </w:r>
            <w:r>
              <w:rPr>
                <w:rFonts w:hint="eastAsia" w:ascii="宋体" w:hAnsi="宋体" w:cs="仿宋"/>
                <w:color w:val="000000" w:themeColor="text1"/>
                <w:sz w:val="22"/>
                <w:lang w:val="zh-CN"/>
                <w14:textFill>
                  <w14:solidFill>
                    <w14:schemeClr w14:val="tx1"/>
                  </w14:solidFill>
                </w14:textFill>
              </w:rPr>
              <w:t>素</w:t>
            </w:r>
          </w:p>
        </w:tc>
      </w:tr>
      <w:tr>
        <w:tblPrEx>
          <w:tblCellMar>
            <w:top w:w="0" w:type="dxa"/>
            <w:left w:w="10" w:type="dxa"/>
            <w:bottom w:w="0" w:type="dxa"/>
            <w:right w:w="10" w:type="dxa"/>
          </w:tblCellMar>
        </w:tblPrEx>
        <w:trPr>
          <w:trHeight w:val="1225" w:hRule="atLeast"/>
        </w:trPr>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2</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管理制度</w:t>
            </w:r>
            <w:r>
              <w:rPr>
                <w:rFonts w:hint="eastAsia" w:ascii="宋体" w:hAnsi="宋体" w:cs="仿宋"/>
                <w:color w:val="000000" w:themeColor="text1"/>
                <w:sz w:val="22"/>
                <w14:textFill>
                  <w14:solidFill>
                    <w14:schemeClr w14:val="tx1"/>
                  </w14:solidFill>
                </w14:textFill>
              </w:rPr>
              <w:t>1</w:t>
            </w:r>
            <w:r>
              <w:rPr>
                <w:rFonts w:hint="eastAsia" w:ascii="宋体" w:hAnsi="宋体" w:cs="仿宋"/>
                <w:color w:val="000000" w:themeColor="text1"/>
                <w:sz w:val="22"/>
                <w:lang w:val="en-US" w:eastAsia="zh-CN"/>
                <w14:textFill>
                  <w14:solidFill>
                    <w14:schemeClr w14:val="tx1"/>
                  </w14:solidFill>
                </w14:textFill>
              </w:rPr>
              <w:t>5</w:t>
            </w:r>
            <w:r>
              <w:rPr>
                <w:rFonts w:hint="eastAsia" w:ascii="宋体" w:hAnsi="宋体" w:cs="仿宋"/>
                <w:color w:val="000000" w:themeColor="text1"/>
                <w:sz w:val="22"/>
                <w14:textFill>
                  <w14:solidFill>
                    <w14:schemeClr w14:val="tx1"/>
                  </w14:solidFill>
                </w14:textFill>
              </w:rPr>
              <w:t>%</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Style w:val="23"/>
              <w:spacing w:line="320" w:lineRule="auto"/>
              <w:ind w:firstLine="0" w:firstLineChars="0"/>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1</w:t>
            </w:r>
            <w:r>
              <w:rPr>
                <w:rFonts w:hint="eastAsia" w:ascii="宋体" w:hAnsi="宋体" w:cs="仿宋"/>
                <w:color w:val="000000" w:themeColor="text1"/>
                <w:sz w:val="22"/>
                <w:lang w:val="en-US" w:eastAsia="zh-CN"/>
                <w14:textFill>
                  <w14:solidFill>
                    <w14:schemeClr w14:val="tx1"/>
                  </w14:solidFill>
                </w14:textFill>
              </w:rPr>
              <w:t>5</w:t>
            </w:r>
            <w:r>
              <w:rPr>
                <w:rFonts w:hint="eastAsia" w:ascii="宋体" w:hAnsi="宋体" w:cs="仿宋"/>
                <w:color w:val="000000" w:themeColor="text1"/>
                <w:sz w:val="22"/>
                <w14:textFill>
                  <w14:solidFill>
                    <w14:schemeClr w14:val="tx1"/>
                  </w14:solidFill>
                </w14:textFill>
              </w:rPr>
              <w:t>分</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根据供应商提供的针对本项目管理制度进行评审：包括1、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日常休假制度</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质量巡检制度</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日常管理规范</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，内容全面，科学合理，完全满足招标文件要求得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分；每有一项内容缺失或脱离实际或不满足要求的扣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分，扣完为止，未提供管理制度的不得分。</w:t>
            </w:r>
          </w:p>
          <w:p>
            <w:pPr>
              <w:pStyle w:val="23"/>
              <w:numPr>
                <w:ilvl w:val="0"/>
                <w:numId w:val="0"/>
              </w:numPr>
              <w:spacing w:line="320" w:lineRule="auto"/>
              <w:ind w:leftChars="0"/>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注：以评审专家结合项目实际情况和投标文件响应独立评审为准。</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Style w:val="6"/>
              <w:ind w:firstLine="0" w:firstLineChars="0"/>
              <w:rPr>
                <w:rFonts w:hint="eastAsia" w:ascii="宋体" w:hAnsi="宋体" w:eastAsia="宋体" w:cs="仿宋"/>
                <w:color w:val="000000" w:themeColor="text1"/>
                <w:sz w:val="22"/>
                <w:lang w:eastAsia="zh-CN"/>
                <w14:textFill>
                  <w14:solidFill>
                    <w14:schemeClr w14:val="tx1"/>
                  </w14:solidFill>
                </w14:textFill>
              </w:rPr>
            </w:pPr>
            <w:r>
              <w:rPr>
                <w:rFonts w:hint="eastAsia" w:ascii="宋体" w:hAnsi="宋体" w:cs="仿宋"/>
                <w:color w:val="FF0000"/>
                <w:kern w:val="0"/>
                <w:sz w:val="22"/>
                <w:lang w:eastAsia="zh-CN"/>
              </w:rPr>
              <w:t>技术评分因素</w:t>
            </w:r>
          </w:p>
        </w:tc>
      </w:tr>
      <w:tr>
        <w:tblPrEx>
          <w:tblCellMar>
            <w:top w:w="0" w:type="dxa"/>
            <w:left w:w="10" w:type="dxa"/>
            <w:bottom w:w="0" w:type="dxa"/>
            <w:right w:w="10" w:type="dxa"/>
          </w:tblCellMar>
        </w:tblPrEx>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3</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人员配置方案</w:t>
            </w:r>
            <w:r>
              <w:rPr>
                <w:rFonts w:hint="eastAsia" w:ascii="宋体" w:hAnsi="宋体" w:cs="仿宋"/>
                <w:color w:val="000000" w:themeColor="text1"/>
                <w:sz w:val="22"/>
                <w:lang w:val="en-US" w:eastAsia="zh-CN"/>
                <w14:textFill>
                  <w14:solidFill>
                    <w14:schemeClr w14:val="tx1"/>
                  </w14:solidFill>
                </w14:textFill>
              </w:rPr>
              <w:t>20</w:t>
            </w:r>
            <w:r>
              <w:rPr>
                <w:rFonts w:hint="eastAsia" w:ascii="宋体" w:hAnsi="宋体" w:cs="仿宋"/>
                <w:color w:val="000000" w:themeColor="text1"/>
                <w:sz w:val="22"/>
                <w14:textFill>
                  <w14:solidFill>
                    <w14:schemeClr w14:val="tx1"/>
                  </w14:solidFill>
                </w14:textFill>
              </w:rPr>
              <w:t>%</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lang w:val="en-US" w:eastAsia="zh-CN"/>
                <w14:textFill>
                  <w14:solidFill>
                    <w14:schemeClr w14:val="tx1"/>
                  </w14:solidFill>
                </w14:textFill>
              </w:rPr>
              <w:t>20</w:t>
            </w:r>
            <w:r>
              <w:rPr>
                <w:rFonts w:hint="eastAsia" w:ascii="宋体" w:hAnsi="宋体" w:cs="仿宋"/>
                <w:color w:val="000000" w:themeColor="text1"/>
                <w:sz w:val="22"/>
                <w14:textFill>
                  <w14:solidFill>
                    <w14:schemeClr w14:val="tx1"/>
                  </w14:solidFill>
                </w14:textFill>
              </w:rPr>
              <w:t>分</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提供针对本项目的人员配置方案：包括但不限于1、人员配置方案（服务人员清单）2、人员的培训计划、3、人员管理制度（包含：考勤制度、奖惩制度、考核管理制度）、4、人员岗位职责等，以上四个方面符合本项目需求且内容完善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分；每有一项内容缺失或脱离实际或不满足要求的扣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分，扣完为止，未提供人员配置方案或配置人员不满足项目基本人员需求的不得分（提供项目服务人员清单、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人员身份证复印件、</w:t>
            </w:r>
            <w:r>
              <w:rPr>
                <w:rFonts w:hint="eastAsia" w:asciiTheme="minorEastAsia" w:hAnsiTheme="minorEastAsia" w:eastAsiaTheme="minorEastAsia" w:cstheme="minorEastAsia"/>
                <w:color w:val="000000" w:themeColor="text1"/>
                <w:sz w:val="24"/>
                <w:szCs w:val="24"/>
                <w14:textFill>
                  <w14:solidFill>
                    <w14:schemeClr w14:val="tx1"/>
                  </w14:solidFill>
                </w14:textFill>
              </w:rPr>
              <w:t>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动</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合同复印件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人员资料提供不全的不认可为本项目配备人员）。</w:t>
            </w:r>
          </w:p>
          <w:p>
            <w:pPr>
              <w:pStyle w:val="23"/>
              <w:spacing w:line="320" w:lineRule="auto"/>
              <w:ind w:firstLine="0" w:firstLineChars="0"/>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注：以评审专家结合项目实际情况和投标文件响应独立评审为准。</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lang w:val="en-US" w:eastAsia="zh-CN"/>
                <w14:textFill>
                  <w14:solidFill>
                    <w14:schemeClr w14:val="tx1"/>
                  </w14:solidFill>
                </w14:textFill>
              </w:rPr>
              <w:t>技术</w:t>
            </w:r>
            <w:r>
              <w:rPr>
                <w:rFonts w:hint="eastAsia" w:ascii="宋体" w:hAnsi="宋体" w:cs="仿宋"/>
                <w:color w:val="000000" w:themeColor="text1"/>
                <w:sz w:val="22"/>
                <w:lang w:val="zh-CN"/>
                <w14:textFill>
                  <w14:solidFill>
                    <w14:schemeClr w14:val="tx1"/>
                  </w14:solidFill>
                </w14:textFill>
              </w:rPr>
              <w:t>评分因</w:t>
            </w:r>
            <w:r>
              <w:rPr>
                <w:rFonts w:hint="eastAsia" w:ascii="宋体" w:hAnsi="宋体" w:cs="仿宋"/>
                <w:color w:val="000000" w:themeColor="text1"/>
                <w:sz w:val="22"/>
                <w14:textFill>
                  <w14:solidFill>
                    <w14:schemeClr w14:val="tx1"/>
                  </w14:solidFill>
                </w14:textFill>
              </w:rPr>
              <w:t xml:space="preserve"> </w:t>
            </w:r>
            <w:r>
              <w:rPr>
                <w:rFonts w:hint="eastAsia" w:ascii="宋体" w:hAnsi="宋体" w:cs="仿宋"/>
                <w:color w:val="000000" w:themeColor="text1"/>
                <w:sz w:val="22"/>
                <w:lang w:val="zh-CN"/>
                <w14:textFill>
                  <w14:solidFill>
                    <w14:schemeClr w14:val="tx1"/>
                  </w14:solidFill>
                </w14:textFill>
              </w:rPr>
              <w:t>素</w:t>
            </w:r>
          </w:p>
        </w:tc>
      </w:tr>
      <w:tr>
        <w:tblPrEx>
          <w:tblCellMar>
            <w:top w:w="0" w:type="dxa"/>
            <w:left w:w="10" w:type="dxa"/>
            <w:bottom w:w="0" w:type="dxa"/>
            <w:right w:w="10" w:type="dxa"/>
          </w:tblCellMar>
        </w:tblPrEx>
        <w:trPr>
          <w:trHeight w:val="1434" w:hRule="atLeast"/>
        </w:trPr>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4</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Style w:val="24"/>
              <w:spacing w:line="360" w:lineRule="auto"/>
              <w:jc w:val="center"/>
              <w:rPr>
                <w:rFonts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项目需求分析</w:t>
            </w:r>
            <w:r>
              <w:rPr>
                <w:rFonts w:hint="eastAsia" w:hAnsi="宋体" w:cs="仿宋"/>
                <w:color w:val="000000" w:themeColor="text1"/>
                <w:sz w:val="22"/>
                <w:lang w:val="en-US" w:eastAsia="zh-CN"/>
                <w14:textFill>
                  <w14:solidFill>
                    <w14:schemeClr w14:val="tx1"/>
                  </w14:solidFill>
                </w14:textFill>
              </w:rPr>
              <w:t>20</w:t>
            </w:r>
            <w:r>
              <w:rPr>
                <w:rFonts w:hint="eastAsia" w:hAnsi="宋体" w:cs="仿宋"/>
                <w:color w:val="000000" w:themeColor="text1"/>
                <w:sz w:val="22"/>
                <w14:textFill>
                  <w14:solidFill>
                    <w14:schemeClr w14:val="tx1"/>
                  </w14:solidFill>
                </w14:textFill>
              </w:rPr>
              <w:t>%</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kern w:val="0"/>
                <w:sz w:val="22"/>
                <w:szCs w:val="20"/>
                <w14:textFill>
                  <w14:solidFill>
                    <w14:schemeClr w14:val="tx1"/>
                  </w14:solidFill>
                </w14:textFill>
              </w:rPr>
            </w:pPr>
            <w:r>
              <w:rPr>
                <w:rFonts w:hint="eastAsia" w:ascii="宋体" w:hAnsi="宋体" w:cs="仿宋"/>
                <w:color w:val="000000" w:themeColor="text1"/>
                <w:sz w:val="22"/>
                <w:lang w:val="en-US" w:eastAsia="zh-CN"/>
                <w14:textFill>
                  <w14:solidFill>
                    <w14:schemeClr w14:val="tx1"/>
                  </w14:solidFill>
                </w14:textFill>
              </w:rPr>
              <w:t>20</w:t>
            </w:r>
            <w:r>
              <w:rPr>
                <w:rFonts w:hint="eastAsia" w:ascii="宋体" w:hAnsi="宋体" w:cs="仿宋"/>
                <w:color w:val="000000" w:themeColor="text1"/>
                <w:sz w:val="22"/>
                <w14:textFill>
                  <w14:solidFill>
                    <w14:schemeClr w14:val="tx1"/>
                  </w14:solidFill>
                </w14:textFill>
              </w:rPr>
              <w:t>分</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根据投标人提供的项目需求分析(包含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项目背景分析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投标人基本情况、</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对服务范围中重点难点的分析应对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关键节点的把握等内容)进行评审：需求分析内容完整，详细，关键节点把握准确，应对措施完善先进，逻辑清晰、流程严谨、符合本项目特点的得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0分；每有一项内容缺失或分析脱离实际或不满足要求的扣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分，扣完本项分值为止。</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lang w:val="zh-CN"/>
                <w14:textFill>
                  <w14:solidFill>
                    <w14:schemeClr w14:val="tx1"/>
                  </w14:solidFill>
                </w14:textFill>
              </w:rPr>
              <w:t>技术评分因</w:t>
            </w:r>
            <w:r>
              <w:rPr>
                <w:rFonts w:hint="eastAsia" w:ascii="宋体" w:hAnsi="宋体" w:cs="仿宋"/>
                <w:color w:val="000000" w:themeColor="text1"/>
                <w:sz w:val="22"/>
                <w14:textFill>
                  <w14:solidFill>
                    <w14:schemeClr w14:val="tx1"/>
                  </w14:solidFill>
                </w14:textFill>
              </w:rPr>
              <w:t xml:space="preserve"> </w:t>
            </w:r>
            <w:r>
              <w:rPr>
                <w:rFonts w:hint="eastAsia" w:ascii="宋体" w:hAnsi="宋体" w:cs="仿宋"/>
                <w:color w:val="000000" w:themeColor="text1"/>
                <w:sz w:val="22"/>
                <w:lang w:val="zh-CN"/>
                <w14:textFill>
                  <w14:solidFill>
                    <w14:schemeClr w14:val="tx1"/>
                  </w14:solidFill>
                </w14:textFill>
              </w:rPr>
              <w:t>素</w:t>
            </w:r>
          </w:p>
        </w:tc>
      </w:tr>
      <w:tr>
        <w:tblPrEx>
          <w:tblCellMar>
            <w:top w:w="0" w:type="dxa"/>
            <w:left w:w="10" w:type="dxa"/>
            <w:bottom w:w="0" w:type="dxa"/>
            <w:right w:w="10" w:type="dxa"/>
          </w:tblCellMar>
        </w:tblPrEx>
        <w:trPr>
          <w:trHeight w:val="2682" w:hRule="atLeast"/>
        </w:trPr>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ind w:firstLine="28"/>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5</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jc w:val="center"/>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质量与安全方案</w:t>
            </w:r>
            <w:r>
              <w:rPr>
                <w:rFonts w:hint="eastAsia" w:ascii="宋体" w:hAnsi="宋体" w:cs="仿宋"/>
                <w:color w:val="000000" w:themeColor="text1"/>
                <w:sz w:val="22"/>
                <w14:textFill>
                  <w14:solidFill>
                    <w14:schemeClr w14:val="tx1"/>
                  </w14:solidFill>
                </w14:textFill>
              </w:rPr>
              <w:t>1</w:t>
            </w:r>
            <w:r>
              <w:rPr>
                <w:rFonts w:hint="eastAsia" w:ascii="宋体" w:hAnsi="宋体" w:cs="仿宋"/>
                <w:color w:val="000000" w:themeColor="text1"/>
                <w:sz w:val="22"/>
                <w:lang w:val="en-US" w:eastAsia="zh-CN"/>
                <w14:textFill>
                  <w14:solidFill>
                    <w14:schemeClr w14:val="tx1"/>
                  </w14:solidFill>
                </w14:textFill>
              </w:rPr>
              <w:t>5</w:t>
            </w:r>
            <w:r>
              <w:rPr>
                <w:rFonts w:hint="eastAsia" w:ascii="宋体" w:hAnsi="宋体" w:cs="仿宋"/>
                <w:color w:val="000000" w:themeColor="text1"/>
                <w:sz w:val="22"/>
                <w14:textFill>
                  <w14:solidFill>
                    <w14:schemeClr w14:val="tx1"/>
                  </w14:solidFill>
                </w14:textFill>
              </w:rPr>
              <w:t>%</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20" w:lineRule="auto"/>
              <w:jc w:val="center"/>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14:textFill>
                  <w14:solidFill>
                    <w14:schemeClr w14:val="tx1"/>
                  </w14:solidFill>
                </w14:textFill>
              </w:rPr>
              <w:t>1</w:t>
            </w:r>
            <w:r>
              <w:rPr>
                <w:rFonts w:hint="eastAsia" w:ascii="宋体" w:hAnsi="宋体" w:cs="仿宋"/>
                <w:color w:val="000000" w:themeColor="text1"/>
                <w:sz w:val="22"/>
                <w:lang w:val="en-US" w:eastAsia="zh-CN"/>
                <w14:textFill>
                  <w14:solidFill>
                    <w14:schemeClr w14:val="tx1"/>
                  </w14:solidFill>
                </w14:textFill>
              </w:rPr>
              <w:t>5</w:t>
            </w:r>
            <w:r>
              <w:rPr>
                <w:rFonts w:hint="eastAsia" w:ascii="宋体" w:hAnsi="宋体" w:cs="仿宋"/>
                <w:color w:val="000000" w:themeColor="text1"/>
                <w:sz w:val="22"/>
                <w14:textFill>
                  <w14:solidFill>
                    <w14:schemeClr w14:val="tx1"/>
                  </w14:solidFill>
                </w14:textFill>
              </w:rPr>
              <w:t>分</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根据供应商提供针对本项目的应急方案进行综合评审：包括1、突发断水、断电应急措施，2、安全事件应急措施，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人员补充</w:t>
            </w:r>
            <w:r>
              <w:rPr>
                <w:rFonts w:hint="eastAsia" w:asciiTheme="minorEastAsia" w:hAnsiTheme="minorEastAsia" w:eastAsiaTheme="minorEastAsia" w:cstheme="minorEastAsia"/>
                <w:color w:val="000000" w:themeColor="text1"/>
                <w:sz w:val="24"/>
                <w:szCs w:val="24"/>
                <w14:textFill>
                  <w14:solidFill>
                    <w14:schemeClr w14:val="tx1"/>
                  </w14:solidFill>
                </w14:textFill>
              </w:rPr>
              <w:t>应急措施等，考虑全面、处理方式得当、可操作性强得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分，每有一项内容缺失或脱离实际或不满足要求的扣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分，扣完为止，未提供应急方案的不得分。</w:t>
            </w:r>
          </w:p>
          <w:p>
            <w:pPr>
              <w:spacing w:line="320" w:lineRule="auto"/>
              <w:rPr>
                <w:rFonts w:ascii="宋体"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注：以评审专家结合项目实际情况和投标文件响应独立评审为准。</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320" w:lineRule="auto"/>
              <w:rPr>
                <w:rFonts w:ascii="宋体" w:hAnsi="宋体" w:cs="仿宋"/>
                <w:color w:val="000000" w:themeColor="text1"/>
                <w:sz w:val="22"/>
                <w14:textFill>
                  <w14:solidFill>
                    <w14:schemeClr w14:val="tx1"/>
                  </w14:solidFill>
                </w14:textFill>
              </w:rPr>
            </w:pPr>
            <w:r>
              <w:rPr>
                <w:rFonts w:hint="eastAsia" w:ascii="宋体" w:hAnsi="宋体" w:cs="仿宋"/>
                <w:color w:val="000000" w:themeColor="text1"/>
                <w:sz w:val="22"/>
                <w:lang w:val="zh-CN"/>
                <w14:textFill>
                  <w14:solidFill>
                    <w14:schemeClr w14:val="tx1"/>
                  </w14:solidFill>
                </w14:textFill>
              </w:rPr>
              <w:t>技术评分因</w:t>
            </w:r>
            <w:r>
              <w:rPr>
                <w:rFonts w:hint="eastAsia" w:ascii="宋体" w:hAnsi="宋体" w:cs="仿宋"/>
                <w:color w:val="000000" w:themeColor="text1"/>
                <w:sz w:val="22"/>
                <w14:textFill>
                  <w14:solidFill>
                    <w14:schemeClr w14:val="tx1"/>
                  </w14:solidFill>
                </w14:textFill>
              </w:rPr>
              <w:t xml:space="preserve"> </w:t>
            </w:r>
            <w:r>
              <w:rPr>
                <w:rFonts w:hint="eastAsia" w:ascii="宋体" w:hAnsi="宋体" w:cs="仿宋"/>
                <w:color w:val="000000" w:themeColor="text1"/>
                <w:sz w:val="22"/>
                <w:lang w:val="zh-CN"/>
                <w14:textFill>
                  <w14:solidFill>
                    <w14:schemeClr w14:val="tx1"/>
                  </w14:solidFill>
                </w14:textFill>
              </w:rPr>
              <w:t>素</w:t>
            </w:r>
          </w:p>
        </w:tc>
      </w:tr>
      <w:tr>
        <w:tblPrEx>
          <w:tblCellMar>
            <w:top w:w="0" w:type="dxa"/>
            <w:left w:w="10" w:type="dxa"/>
            <w:bottom w:w="0" w:type="dxa"/>
            <w:right w:w="10" w:type="dxa"/>
          </w:tblCellMar>
        </w:tblPrEx>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Style w:val="24"/>
              <w:spacing w:before="21" w:line="360" w:lineRule="auto"/>
              <w:ind w:right="97"/>
              <w:jc w:val="center"/>
              <w:rPr>
                <w:rFonts w:hAnsi="宋体" w:cs="仿宋"/>
                <w:color w:val="000000" w:themeColor="text1"/>
                <w:sz w:val="22"/>
                <w14:textFill>
                  <w14:solidFill>
                    <w14:schemeClr w14:val="tx1"/>
                  </w14:solidFill>
                </w14:textFill>
              </w:rPr>
            </w:pPr>
            <w:r>
              <w:rPr>
                <w:rFonts w:hint="eastAsia" w:hAnsi="宋体" w:cs="仿宋"/>
                <w:color w:val="000000" w:themeColor="text1"/>
                <w:sz w:val="22"/>
                <w14:textFill>
                  <w14:solidFill>
                    <w14:schemeClr w14:val="tx1"/>
                  </w14:solidFill>
                </w14:textFill>
              </w:rPr>
              <w:t>6</w:t>
            </w:r>
          </w:p>
        </w:tc>
        <w:tc>
          <w:tcPr>
            <w:tcW w:w="105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Style w:val="24"/>
              <w:spacing w:before="21" w:line="360" w:lineRule="auto"/>
              <w:ind w:right="97"/>
              <w:jc w:val="center"/>
              <w:rPr>
                <w:rFonts w:hAnsi="宋体" w:cs="仿宋"/>
                <w:color w:val="000000" w:themeColor="text1"/>
                <w:sz w:val="22"/>
                <w14:textFill>
                  <w14:solidFill>
                    <w14:schemeClr w14:val="tx1"/>
                  </w14:solidFill>
                </w14:textFill>
              </w:rPr>
            </w:pPr>
            <w:r>
              <w:rPr>
                <w:rFonts w:hint="eastAsia" w:hAnsi="宋体" w:cs="仿宋"/>
                <w:color w:val="000000" w:themeColor="text1"/>
                <w:sz w:val="22"/>
                <w14:textFill>
                  <w14:solidFill>
                    <w14:schemeClr w14:val="tx1"/>
                  </w14:solidFill>
                </w14:textFill>
              </w:rPr>
              <w:t>履约</w:t>
            </w:r>
            <w:r>
              <w:rPr>
                <w:rFonts w:hint="eastAsia" w:hAnsi="宋体" w:cs="仿宋"/>
                <w:color w:val="000000" w:themeColor="text1"/>
                <w:sz w:val="22"/>
                <w:lang w:val="en-US" w:eastAsia="zh-CN"/>
                <w14:textFill>
                  <w14:solidFill>
                    <w14:schemeClr w14:val="tx1"/>
                  </w14:solidFill>
                </w14:textFill>
              </w:rPr>
              <w:t>经验15</w:t>
            </w:r>
            <w:r>
              <w:rPr>
                <w:rFonts w:hint="eastAsia" w:hAnsi="宋体" w:cs="仿宋"/>
                <w:color w:val="000000" w:themeColor="text1"/>
                <w:sz w:val="22"/>
                <w14:textFill>
                  <w14:solidFill>
                    <w14:schemeClr w14:val="tx1"/>
                  </w14:solidFill>
                </w14:textFill>
              </w:rPr>
              <w:t>%</w:t>
            </w:r>
          </w:p>
        </w:tc>
        <w:tc>
          <w:tcPr>
            <w:tcW w:w="6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Style w:val="24"/>
              <w:spacing w:before="21" w:line="360" w:lineRule="auto"/>
              <w:ind w:right="97"/>
              <w:jc w:val="center"/>
              <w:rPr>
                <w:rFonts w:hAnsi="宋体" w:cs="仿宋"/>
                <w:color w:val="000000" w:themeColor="text1"/>
                <w:sz w:val="22"/>
                <w14:textFill>
                  <w14:solidFill>
                    <w14:schemeClr w14:val="tx1"/>
                  </w14:solidFill>
                </w14:textFill>
              </w:rPr>
            </w:pPr>
            <w:r>
              <w:rPr>
                <w:rFonts w:hint="eastAsia" w:hAnsi="宋体" w:cs="仿宋"/>
                <w:color w:val="000000" w:themeColor="text1"/>
                <w:sz w:val="22"/>
                <w:lang w:val="en-US" w:eastAsia="zh-CN"/>
                <w14:textFill>
                  <w14:solidFill>
                    <w14:schemeClr w14:val="tx1"/>
                  </w14:solidFill>
                </w14:textFill>
              </w:rPr>
              <w:t>15</w:t>
            </w:r>
            <w:r>
              <w:rPr>
                <w:rFonts w:hint="eastAsia" w:hAnsi="宋体" w:cs="仿宋"/>
                <w:color w:val="000000" w:themeColor="text1"/>
                <w:sz w:val="22"/>
                <w14:textFill>
                  <w14:solidFill>
                    <w14:schemeClr w14:val="tx1"/>
                  </w14:solidFill>
                </w14:textFill>
              </w:rPr>
              <w:t>分</w:t>
            </w:r>
          </w:p>
        </w:tc>
        <w:tc>
          <w:tcPr>
            <w:tcW w:w="590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年1月1日-至今有类似项目业绩，每有一项得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分，最多得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pStyle w:val="24"/>
              <w:spacing w:before="21" w:line="360" w:lineRule="auto"/>
              <w:ind w:right="97" w:firstLine="240" w:firstLineChars="100"/>
              <w:jc w:val="left"/>
              <w:rPr>
                <w:rFonts w:hAnsi="宋体" w:cs="仿宋"/>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注：需提供有中标/成交通知书或合同协议书复印件盖投标人公章。</w:t>
            </w:r>
          </w:p>
        </w:tc>
        <w:tc>
          <w:tcPr>
            <w:tcW w:w="13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pStyle w:val="24"/>
              <w:spacing w:before="21" w:line="360" w:lineRule="auto"/>
              <w:ind w:right="97"/>
              <w:jc w:val="center"/>
              <w:rPr>
                <w:rFonts w:hAnsi="宋体" w:cs="仿宋"/>
                <w:color w:val="000000" w:themeColor="text1"/>
                <w:sz w:val="22"/>
                <w14:textFill>
                  <w14:solidFill>
                    <w14:schemeClr w14:val="tx1"/>
                  </w14:solidFill>
                </w14:textFill>
              </w:rPr>
            </w:pPr>
          </w:p>
          <w:p>
            <w:pPr>
              <w:pStyle w:val="24"/>
              <w:spacing w:before="21" w:line="360" w:lineRule="auto"/>
              <w:ind w:right="97"/>
              <w:jc w:val="center"/>
              <w:rPr>
                <w:rFonts w:hAnsi="宋体" w:cs="仿宋"/>
                <w:color w:val="000000" w:themeColor="text1"/>
                <w:sz w:val="22"/>
                <w14:textFill>
                  <w14:solidFill>
                    <w14:schemeClr w14:val="tx1"/>
                  </w14:solidFill>
                </w14:textFill>
              </w:rPr>
            </w:pPr>
            <w:r>
              <w:rPr>
                <w:rFonts w:hint="eastAsia" w:hAnsi="宋体" w:cs="仿宋"/>
                <w:color w:val="000000" w:themeColor="text1"/>
                <w:sz w:val="22"/>
                <w14:textFill>
                  <w14:solidFill>
                    <w14:schemeClr w14:val="tx1"/>
                  </w14:solidFill>
                </w14:textFill>
              </w:rPr>
              <w:t>共同评分因素</w:t>
            </w:r>
          </w:p>
        </w:tc>
      </w:tr>
    </w:tbl>
    <w:p>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pPr>
        <w:spacing w:line="360" w:lineRule="auto"/>
        <w:jc w:val="center"/>
        <w:rPr>
          <w:rFonts w:asciiTheme="majorEastAsia" w:hAnsiTheme="majorEastAsia" w:eastAsiaTheme="majorEastAsia" w:cstheme="majorEastAsia"/>
          <w:b/>
          <w:snapToGrid w:val="0"/>
          <w:color w:val="000000" w:themeColor="text1"/>
          <w:sz w:val="44"/>
          <w:szCs w:val="44"/>
          <w14:textFill>
            <w14:solidFill>
              <w14:schemeClr w14:val="tx1"/>
            </w14:solidFill>
          </w14:textFill>
        </w:rPr>
      </w:pPr>
    </w:p>
    <w:p>
      <w:pPr>
        <w:spacing w:line="360" w:lineRule="auto"/>
        <w:jc w:val="center"/>
        <w:rPr>
          <w:rFonts w:asciiTheme="majorEastAsia" w:hAnsiTheme="majorEastAsia" w:eastAsiaTheme="majorEastAsia" w:cstheme="majorEastAsia"/>
          <w:b/>
          <w:snapToGrid w:val="0"/>
          <w:sz w:val="44"/>
          <w:szCs w:val="44"/>
        </w:rPr>
      </w:pPr>
    </w:p>
    <w:p>
      <w:pPr>
        <w:spacing w:line="360" w:lineRule="auto"/>
        <w:jc w:val="center"/>
        <w:rPr>
          <w:rFonts w:asciiTheme="majorEastAsia" w:hAnsiTheme="majorEastAsia" w:eastAsiaTheme="majorEastAsia" w:cstheme="majorEastAsia"/>
          <w:b/>
          <w:snapToGrid w:val="0"/>
          <w:sz w:val="44"/>
          <w:szCs w:val="44"/>
        </w:rPr>
      </w:pPr>
    </w:p>
    <w:p>
      <w:pPr>
        <w:spacing w:line="360" w:lineRule="auto"/>
        <w:jc w:val="center"/>
        <w:rPr>
          <w:rFonts w:asciiTheme="majorEastAsia" w:hAnsiTheme="majorEastAsia" w:eastAsiaTheme="majorEastAsia" w:cstheme="majorEastAsia"/>
          <w:b/>
          <w:snapToGrid w:val="0"/>
          <w:sz w:val="44"/>
          <w:szCs w:val="44"/>
        </w:rPr>
      </w:pPr>
    </w:p>
    <w:p>
      <w:pPr>
        <w:rPr>
          <w:rFonts w:hint="eastAsia"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br w:type="page"/>
      </w:r>
    </w:p>
    <w:p>
      <w:pPr>
        <w:spacing w:line="360" w:lineRule="auto"/>
        <w:jc w:val="center"/>
        <w:rPr>
          <w:rFonts w:asciiTheme="majorEastAsia" w:hAnsiTheme="majorEastAsia" w:eastAsiaTheme="majorEastAsia" w:cstheme="majorEastAsia"/>
          <w:b/>
          <w:snapToGrid w:val="0"/>
          <w:sz w:val="44"/>
          <w:szCs w:val="44"/>
        </w:rPr>
      </w:pPr>
      <w:r>
        <w:rPr>
          <w:rFonts w:hint="eastAsia" w:asciiTheme="majorEastAsia" w:hAnsiTheme="majorEastAsia" w:eastAsiaTheme="majorEastAsia" w:cstheme="majorEastAsia"/>
          <w:b/>
          <w:snapToGrid w:val="0"/>
          <w:sz w:val="44"/>
          <w:szCs w:val="44"/>
        </w:rPr>
        <w:t>第三部分  报价文件格式</w:t>
      </w:r>
    </w:p>
    <w:p>
      <w:pPr>
        <w:snapToGrid w:val="0"/>
        <w:spacing w:line="360" w:lineRule="auto"/>
        <w:rPr>
          <w:rFonts w:asciiTheme="majorEastAsia" w:hAnsiTheme="majorEastAsia" w:eastAsiaTheme="majorEastAsia" w:cstheme="majorEastAsia"/>
          <w:snapToGrid w:val="0"/>
        </w:rPr>
      </w:pPr>
    </w:p>
    <w:p>
      <w:pPr>
        <w:widowControl/>
        <w:shd w:val="clear" w:color="auto" w:fill="FFFFFF"/>
        <w:spacing w:line="560" w:lineRule="exact"/>
        <w:ind w:firstLine="723" w:firstLineChars="200"/>
        <w:jc w:val="center"/>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报价单</w:t>
      </w:r>
    </w:p>
    <w:p>
      <w:pPr>
        <w:widowControl/>
        <w:shd w:val="clear" w:color="auto" w:fill="FFFFFF"/>
        <w:spacing w:line="54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bCs/>
          <w:u w:val="single"/>
        </w:rPr>
        <w:t>四川省南宝山服饰有限公司</w:t>
      </w:r>
      <w:r>
        <w:rPr>
          <w:rFonts w:hint="eastAsia" w:asciiTheme="minorEastAsia" w:hAnsiTheme="minorEastAsia" w:eastAsiaTheme="minorEastAsia" w:cstheme="minorEastAsia"/>
          <w:b/>
          <w:bCs/>
        </w:rPr>
        <w:t>：</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snapToGrid w:val="0"/>
        </w:rPr>
        <w:t>（被邀请人全称）参加贵方组织的</w:t>
      </w:r>
      <w:r>
        <w:rPr>
          <w:rFonts w:hint="eastAsia" w:asciiTheme="minorEastAsia" w:hAnsiTheme="minorEastAsia" w:eastAsiaTheme="minorEastAsia" w:cstheme="minorEastAsia"/>
          <w:snapToGrid w:val="0"/>
          <w:u w:val="single"/>
        </w:rPr>
        <w:t>四川省南宝山服饰有限公司</w:t>
      </w:r>
      <w:r>
        <w:rPr>
          <w:rFonts w:hint="eastAsia" w:asciiTheme="minorEastAsia" w:hAnsiTheme="minorEastAsia" w:eastAsiaTheme="minorEastAsia" w:cstheme="minorEastAsia"/>
          <w:snapToGrid w:val="0"/>
          <w:u w:val="single"/>
          <w:lang w:val="en-US" w:eastAsia="zh-CN"/>
        </w:rPr>
        <w:t>2025年</w:t>
      </w:r>
      <w:r>
        <w:rPr>
          <w:rFonts w:hint="eastAsia" w:asciiTheme="minorEastAsia" w:hAnsiTheme="minorEastAsia" w:eastAsiaTheme="minorEastAsia" w:cstheme="minorEastAsia"/>
          <w:snapToGrid w:val="0"/>
          <w:u w:val="single"/>
        </w:rPr>
        <w:t>服</w:t>
      </w:r>
      <w:r>
        <w:rPr>
          <w:rFonts w:hint="eastAsia" w:asciiTheme="minorEastAsia" w:hAnsiTheme="minorEastAsia" w:eastAsiaTheme="minorEastAsia" w:cstheme="minorEastAsia"/>
          <w:snapToGrid w:val="0"/>
          <w:u w:val="single"/>
          <w:lang w:val="en-US" w:eastAsia="zh-CN"/>
        </w:rPr>
        <w:t>装</w:t>
      </w:r>
      <w:r>
        <w:rPr>
          <w:rFonts w:hint="eastAsia" w:asciiTheme="minorEastAsia" w:hAnsiTheme="minorEastAsia" w:eastAsiaTheme="minorEastAsia" w:cstheme="minorEastAsia"/>
          <w:snapToGrid w:val="0"/>
          <w:u w:val="single"/>
        </w:rPr>
        <w:t>技术指导服务外包采购项目</w:t>
      </w:r>
      <w:r>
        <w:rPr>
          <w:rFonts w:hint="eastAsia" w:asciiTheme="minorEastAsia" w:hAnsiTheme="minorEastAsia" w:eastAsiaTheme="minorEastAsia" w:cstheme="minorEastAsia"/>
        </w:rPr>
        <w:t>在分析了相关资料和实际情况后，我公司愿意以总价：人民币（</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rPr>
        <w:t xml:space="preserve">        ）元，大写（          ）参与该</w:t>
      </w:r>
      <w:bookmarkStart w:id="1" w:name="_GoBack"/>
      <w:bookmarkEnd w:id="1"/>
      <w:r>
        <w:rPr>
          <w:rFonts w:hint="eastAsia" w:asciiTheme="minorEastAsia" w:hAnsiTheme="minorEastAsia" w:eastAsiaTheme="minorEastAsia" w:cstheme="minorEastAsia"/>
        </w:rPr>
        <w:t>项目，完成项目工作内容的全部任务。如我方中标，我方承诺：</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1、按合同条件完成服务内容。</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2、签订正式合同后，除不可抗力外，合同履行期间不更换项目负责人。</w:t>
      </w:r>
    </w:p>
    <w:p>
      <w:pPr>
        <w:widowControl/>
        <w:shd w:val="clear" w:color="auto" w:fill="FFFFFF"/>
        <w:spacing w:line="560" w:lineRule="exact"/>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以上为我方参加</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的申请，如违反，则自行承担相应法律责任，自愿按照相关规定接受处罚。</w:t>
      </w:r>
    </w:p>
    <w:p>
      <w:pPr>
        <w:widowControl/>
        <w:shd w:val="clear" w:color="auto" w:fill="FFFFFF"/>
        <w:spacing w:before="100" w:after="100" w:line="800" w:lineRule="atLeast"/>
        <w:ind w:right="26"/>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被邀请人：（盖单位章）</w:t>
      </w:r>
    </w:p>
    <w:p>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地址：</w:t>
      </w:r>
    </w:p>
    <w:p>
      <w:pPr>
        <w:widowControl/>
        <w:shd w:val="clear" w:color="auto" w:fill="FFFFFF"/>
        <w:spacing w:line="80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联系方式：</w:t>
      </w:r>
    </w:p>
    <w:p>
      <w:pPr>
        <w:widowControl/>
        <w:shd w:val="clear" w:color="auto" w:fill="FFFFFF"/>
        <w:wordWrap w:val="0"/>
        <w:spacing w:line="540" w:lineRule="atLeast"/>
        <w:ind w:right="840" w:firstLine="3360" w:firstLineChars="1200"/>
        <w:jc w:val="right"/>
        <w:rPr>
          <w:rFonts w:asciiTheme="minorEastAsia" w:hAnsiTheme="minorEastAsia" w:eastAsiaTheme="minorEastAsia" w:cstheme="minorEastAsia"/>
          <w:bCs/>
        </w:rPr>
      </w:pPr>
      <w:r>
        <w:rPr>
          <w:rFonts w:hint="eastAsia" w:asciiTheme="minorEastAsia" w:hAnsiTheme="minorEastAsia" w:eastAsiaTheme="minorEastAsia" w:cstheme="minorEastAsia"/>
          <w:bCs/>
        </w:rPr>
        <w:t>年  月  日</w:t>
      </w:r>
    </w:p>
    <w:p>
      <w:pPr>
        <w:pStyle w:val="11"/>
        <w:rPr>
          <w:rFonts w:asciiTheme="minorEastAsia" w:hAnsiTheme="minorEastAsia" w:eastAsiaTheme="minorEastAsia" w:cstheme="minorEastAsia"/>
          <w:bCs/>
        </w:rPr>
      </w:pPr>
    </w:p>
    <w:p>
      <w:pPr>
        <w:spacing w:line="40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注：若报价大小写不同以大写为准。</w:t>
      </w:r>
    </w:p>
    <w:p>
      <w:p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440" w:lineRule="exact"/>
        <w:rPr>
          <w:rFonts w:asciiTheme="majorEastAsia" w:hAnsiTheme="majorEastAsia" w:eastAsiaTheme="majorEastAsia" w:cstheme="majorEastAsia"/>
          <w:color w:val="000000" w:themeColor="text1"/>
          <w:sz w:val="24"/>
          <w14:textFill>
            <w14:solidFill>
              <w14:schemeClr w14:val="tx1"/>
            </w14:solidFill>
          </w14:textFill>
        </w:rPr>
      </w:pPr>
    </w:p>
    <w:p>
      <w:pPr>
        <w:ind w:firstLine="3253" w:firstLineChars="900"/>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资质证明文件</w:t>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rPr>
        <w:t>（资质证书复印件加盖企业鲜章）。</w:t>
      </w:r>
    </w:p>
    <w:p>
      <w:pPr>
        <w:rPr>
          <w:rFonts w:asciiTheme="majorEastAsia" w:hAnsiTheme="majorEastAsia" w:eastAsiaTheme="majorEastAsia" w:cstheme="majorEastAsia"/>
          <w:bCs/>
          <w:snapToGrid w:val="0"/>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法人身份证复印件</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rPr>
          <w:rFonts w:asciiTheme="majorEastAsia" w:hAnsiTheme="majorEastAsia" w:eastAsiaTheme="majorEastAsia" w:cstheme="majorEastAsia"/>
          <w:snapToGrid w:val="0"/>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r>
        <w:rPr>
          <w:rFonts w:hint="eastAsia" w:asciiTheme="majorEastAsia" w:hAnsiTheme="majorEastAsia" w:eastAsiaTheme="majorEastAsia" w:cstheme="majorEastAsia"/>
          <w:b/>
          <w:snapToGrid w:val="0"/>
          <w:sz w:val="36"/>
          <w:szCs w:val="36"/>
        </w:rPr>
        <w:t>授权委托书</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br w:type="page"/>
      </w:r>
    </w:p>
    <w:p>
      <w:pPr>
        <w:jc w:val="center"/>
        <w:rPr>
          <w:rFonts w:asciiTheme="majorEastAsia" w:hAnsiTheme="majorEastAsia" w:eastAsiaTheme="majorEastAsia" w:cstheme="majorEastAsia"/>
          <w:b/>
          <w:snapToGrid w:val="0"/>
          <w:sz w:val="36"/>
          <w:szCs w:val="36"/>
        </w:rPr>
      </w:pPr>
      <w:r>
        <w:rPr>
          <w:rFonts w:hint="eastAsia" w:asciiTheme="majorEastAsia" w:hAnsiTheme="majorEastAsia" w:eastAsiaTheme="majorEastAsia" w:cstheme="majorEastAsia"/>
          <w:b/>
          <w:snapToGrid w:val="0"/>
          <w:sz w:val="36"/>
          <w:szCs w:val="36"/>
        </w:rPr>
        <w:t>全权代表身份证复印件</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napToGrid w:val="0"/>
        </w:rPr>
        <w:t>（加盖企业鲜章）</w:t>
      </w:r>
    </w:p>
    <w:p>
      <w:pPr>
        <w:rPr>
          <w:rFonts w:asciiTheme="majorEastAsia" w:hAnsiTheme="majorEastAsia" w:eastAsiaTheme="majorEastAsia" w:cstheme="majorEastAsia"/>
          <w:snapToGrid w:val="0"/>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rPr>
          <w:rFonts w:asciiTheme="majorEastAsia" w:hAnsiTheme="majorEastAsia" w:eastAsiaTheme="majorEastAsia" w:cstheme="majorEastAsia"/>
          <w:b/>
          <w:snapToGrid w:val="0"/>
          <w:szCs w:val="24"/>
        </w:rPr>
      </w:pPr>
    </w:p>
    <w:p>
      <w:pPr>
        <w:pageBreakBefore/>
        <w:spacing w:line="360" w:lineRule="auto"/>
        <w:ind w:right="482"/>
        <w:jc w:val="center"/>
        <w:outlineLvl w:val="1"/>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四川省南宝山服饰有限公司服装技术指导服务外包采购项目最后报价表</w:t>
      </w:r>
    </w:p>
    <w:tbl>
      <w:tblPr>
        <w:tblStyle w:val="1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959" w:type="dxa"/>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采购项目名称</w:t>
            </w:r>
          </w:p>
        </w:tc>
        <w:tc>
          <w:tcPr>
            <w:tcW w:w="6685" w:type="dxa"/>
            <w:noWrap/>
            <w:vAlign w:val="bottom"/>
          </w:tcPr>
          <w:p>
            <w:pPr>
              <w:snapToGrid w:val="0"/>
              <w:spacing w:line="276" w:lineRule="auto"/>
              <w:ind w:right="14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四川省南宝山服饰有限公司</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2025年</w:t>
            </w:r>
            <w:r>
              <w:rPr>
                <w:rFonts w:hint="eastAsia" w:asciiTheme="majorEastAsia" w:hAnsiTheme="majorEastAsia" w:eastAsiaTheme="majorEastAsia" w:cstheme="majorEastAsia"/>
                <w:color w:val="000000" w:themeColor="text1"/>
                <w14:textFill>
                  <w14:solidFill>
                    <w14:schemeClr w14:val="tx1"/>
                  </w14:solidFill>
                </w14:textFill>
              </w:rPr>
              <w:t>服</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装</w:t>
            </w:r>
            <w:r>
              <w:rPr>
                <w:rFonts w:hint="eastAsia" w:asciiTheme="majorEastAsia" w:hAnsiTheme="majorEastAsia" w:eastAsiaTheme="majorEastAsia" w:cstheme="majorEastAsia"/>
                <w:color w:val="000000" w:themeColor="text1"/>
                <w14:textFill>
                  <w14:solidFill>
                    <w14:schemeClr w14:val="tx1"/>
                  </w14:solidFill>
                </w14:textFill>
              </w:rPr>
              <w:t>技术指导服务外包采购项目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59" w:type="dxa"/>
            <w:vMerge w:val="restart"/>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最后报价为</w:t>
            </w:r>
          </w:p>
        </w:tc>
        <w:tc>
          <w:tcPr>
            <w:tcW w:w="6685" w:type="dxa"/>
            <w:noWrap/>
            <w:vAlign w:val="center"/>
          </w:tcPr>
          <w:p>
            <w:pPr>
              <w:snapToGrid w:val="0"/>
              <w:spacing w:line="276" w:lineRule="auto"/>
              <w:jc w:val="right"/>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59" w:type="dxa"/>
            <w:vMerge w:val="continue"/>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p>
        </w:tc>
        <w:tc>
          <w:tcPr>
            <w:tcW w:w="6685" w:type="dxa"/>
            <w:noWrap/>
            <w:vAlign w:val="center"/>
          </w:tcPr>
          <w:p>
            <w:pPr>
              <w:wordWrap w:val="0"/>
              <w:snapToGrid w:val="0"/>
              <w:spacing w:line="276" w:lineRule="auto"/>
              <w:jc w:val="right"/>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959" w:type="dxa"/>
            <w:noWrap/>
            <w:vAlign w:val="center"/>
          </w:tcPr>
          <w:p>
            <w:pPr>
              <w:snapToGrid w:val="0"/>
              <w:spacing w:line="276" w:lineRule="auto"/>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备注</w:t>
            </w:r>
          </w:p>
        </w:tc>
        <w:tc>
          <w:tcPr>
            <w:tcW w:w="6685" w:type="dxa"/>
            <w:noWrap/>
            <w:vAlign w:val="center"/>
          </w:tcPr>
          <w:p>
            <w:pPr>
              <w:snapToGrid w:val="0"/>
              <w:spacing w:line="276" w:lineRule="auto"/>
              <w:rPr>
                <w:rFonts w:asciiTheme="majorEastAsia" w:hAnsiTheme="majorEastAsia" w:eastAsiaTheme="majorEastAsia" w:cstheme="majorEastAsia"/>
                <w:color w:val="000000" w:themeColor="text1"/>
                <w14:textFill>
                  <w14:solidFill>
                    <w14:schemeClr w14:val="tx1"/>
                  </w14:solidFill>
                </w14:textFill>
              </w:rPr>
            </w:pPr>
          </w:p>
        </w:tc>
      </w:tr>
    </w:tbl>
    <w:p>
      <w:pPr>
        <w:rPr>
          <w:rFonts w:asciiTheme="majorEastAsia" w:hAnsiTheme="majorEastAsia" w:eastAsiaTheme="majorEastAsia" w:cstheme="majorEastAsia"/>
          <w:color w:val="000000" w:themeColor="text1"/>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供应商名称：</w:t>
      </w:r>
    </w:p>
    <w:p>
      <w:pPr>
        <w:pStyle w:val="21"/>
        <w:rPr>
          <w:rFonts w:asciiTheme="majorEastAsia" w:hAnsiTheme="majorEastAsia" w:eastAsiaTheme="majorEastAsia" w:cs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法定代表人/单位负责人或授权代表（签字或加盖个人印章）</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w:t>
      </w:r>
    </w:p>
    <w:p>
      <w:pPr>
        <w:pStyle w:val="21"/>
        <w:snapToGrid w:val="0"/>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日期：</w:t>
      </w:r>
    </w:p>
    <w:p>
      <w:pPr>
        <w:pStyle w:val="21"/>
        <w:snapToGrid w:val="0"/>
        <w:spacing w:line="276" w:lineRule="auto"/>
        <w:ind w:firstLine="551"/>
        <w:rPr>
          <w:rFonts w:asciiTheme="majorEastAsia" w:hAnsiTheme="majorEastAsia" w:eastAsiaTheme="majorEastAsia" w:cstheme="majorEastAsia"/>
          <w:color w:val="000000" w:themeColor="text1"/>
          <w:kern w:val="0"/>
          <w:sz w:val="24"/>
          <w:szCs w:val="24"/>
          <w14:textFill>
            <w14:solidFill>
              <w14:schemeClr w14:val="tx1"/>
            </w14:solidFill>
          </w14:textFill>
        </w:rPr>
      </w:pPr>
    </w:p>
    <w:p>
      <w:pPr>
        <w:pStyle w:val="21"/>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w:t>
      </w:r>
    </w:p>
    <w:p>
      <w:pPr>
        <w:pStyle w:val="21"/>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1、总报价应是完成</w:t>
      </w:r>
      <w:r>
        <w:rPr>
          <w:rFonts w:hint="eastAsia" w:asciiTheme="majorEastAsia" w:hAnsiTheme="majorEastAsia" w:eastAsiaTheme="majorEastAsia" w:cstheme="majorEastAsia"/>
          <w:color w:val="000000" w:themeColor="text1"/>
          <w:sz w:val="24"/>
          <w14:textFill>
            <w14:solidFill>
              <w14:schemeClr w14:val="tx1"/>
            </w14:solidFill>
          </w14:textFill>
        </w:rPr>
        <w:t>本项目及</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磋商</w:t>
      </w:r>
      <w:r>
        <w:rPr>
          <w:rFonts w:hint="eastAsia" w:asciiTheme="majorEastAsia" w:hAnsiTheme="majorEastAsia" w:eastAsiaTheme="majorEastAsia" w:cstheme="majorEastAsia"/>
          <w:color w:val="000000" w:themeColor="text1"/>
          <w:sz w:val="24"/>
          <w:szCs w:val="24"/>
          <w14:textFill>
            <w14:solidFill>
              <w14:schemeClr w14:val="tx1"/>
            </w14:solidFill>
          </w14:textFill>
        </w:rPr>
        <w:t>文件中所要求的全部内容的最终价格。</w:t>
      </w:r>
    </w:p>
    <w:p>
      <w:pPr>
        <w:pStyle w:val="21"/>
        <w:snapToGrid w:val="0"/>
        <w:spacing w:line="276"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磋商</w:t>
      </w:r>
      <w:r>
        <w:rPr>
          <w:rFonts w:hint="eastAsia" w:asciiTheme="majorEastAsia" w:hAnsiTheme="majorEastAsia" w:eastAsiaTheme="majorEastAsia" w:cstheme="majorEastAsia"/>
          <w:color w:val="000000" w:themeColor="text1"/>
          <w:sz w:val="24"/>
          <w:szCs w:val="24"/>
          <w14:textFill>
            <w14:solidFill>
              <w14:schemeClr w14:val="tx1"/>
            </w14:solidFill>
          </w14:textFill>
        </w:rPr>
        <w:t>结束时，采购人现场工作人员向通符合本次采购要求的被邀请供应商发放 “最后报价表”，经供应商法定代表人</w:t>
      </w:r>
      <w:r>
        <w:rPr>
          <w:rFonts w:hint="eastAsia" w:asciiTheme="majorEastAsia" w:hAnsiTheme="majorEastAsia" w:eastAsiaTheme="majorEastAsia" w:cstheme="majorEastAsia"/>
          <w:color w:val="000000" w:themeColor="text1"/>
          <w:sz w:val="24"/>
          <w14:textFill>
            <w14:solidFill>
              <w14:schemeClr w14:val="tx1"/>
            </w14:solidFill>
          </w14:textFill>
        </w:rPr>
        <w:t>/单位负责人</w:t>
      </w:r>
      <w:r>
        <w:rPr>
          <w:rFonts w:hint="eastAsia" w:asciiTheme="majorEastAsia" w:hAnsiTheme="majorEastAsia" w:eastAsiaTheme="majorEastAsia" w:cstheme="majorEastAsia"/>
          <w:color w:val="000000" w:themeColor="text1"/>
          <w:sz w:val="24"/>
          <w:szCs w:val="24"/>
          <w14:textFill>
            <w14:solidFill>
              <w14:schemeClr w14:val="tx1"/>
            </w14:solidFill>
          </w14:textFill>
        </w:rPr>
        <w:t>或代理人按要求填写最后报价后递交给采购人现场工作人员，由其收集齐后集中递交评审小组。供应商在响应文件中提交此表的，不影响其响应文件的有效性，其最后报价以</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磋商</w:t>
      </w:r>
      <w:r>
        <w:rPr>
          <w:rFonts w:hint="eastAsia" w:asciiTheme="majorEastAsia" w:hAnsiTheme="majorEastAsia" w:eastAsiaTheme="majorEastAsia" w:cstheme="majorEastAsia"/>
          <w:color w:val="000000" w:themeColor="text1"/>
          <w:sz w:val="24"/>
          <w:szCs w:val="24"/>
          <w14:textFill>
            <w14:solidFill>
              <w14:schemeClr w14:val="tx1"/>
            </w14:solidFill>
          </w14:textFill>
        </w:rPr>
        <w:t>结束后提交的“最后报价表”为准。</w:t>
      </w:r>
    </w:p>
    <w:p>
      <w:pPr>
        <w:pStyle w:val="22"/>
        <w:ind w:firstLine="0" w:firstLineChars="0"/>
        <w:rPr>
          <w:rFonts w:asciiTheme="majorEastAsia" w:hAnsiTheme="majorEastAsia" w:eastAsiaTheme="majorEastAsia" w:cstheme="majorEastAsia"/>
          <w:color w:val="000000" w:themeColor="text1"/>
          <w14:textFill>
            <w14:solidFill>
              <w14:schemeClr w14:val="tx1"/>
            </w14:solidFill>
          </w14:textFill>
        </w:rPr>
      </w:pPr>
    </w:p>
    <w:p>
      <w:pPr>
        <w:rPr>
          <w:rFonts w:asciiTheme="majorEastAsia" w:hAnsiTheme="majorEastAsia" w:eastAsiaTheme="majorEastAsia" w:cstheme="majorEastAsia"/>
          <w:b/>
          <w:snapToGrid w:val="0"/>
          <w:color w:val="000000" w:themeColor="text1"/>
          <w:szCs w:val="24"/>
          <w14:textFill>
            <w14:solidFill>
              <w14:schemeClr w14:val="tx1"/>
            </w14:solidFill>
          </w14:textFill>
        </w:rPr>
      </w:pPr>
    </w:p>
    <w:p>
      <w:pPr>
        <w:spacing w:line="800" w:lineRule="exact"/>
        <w:jc w:val="center"/>
        <w:rPr>
          <w:rFonts w:asciiTheme="majorEastAsia" w:hAnsiTheme="majorEastAsia" w:eastAsiaTheme="majorEastAsia" w:cstheme="majorEastAsia"/>
        </w:rPr>
      </w:pPr>
    </w:p>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u w:val="single"/>
      </w:rPr>
    </w:pPr>
  </w:p>
  <w:p>
    <w:pPr>
      <w:pStyle w:val="7"/>
      <w:jc w:val="center"/>
      <w:rPr>
        <w:rFonts w:ascii="黑体" w:eastAsia="黑体"/>
        <w:snapToGrid w:val="0"/>
        <w:spacing w:val="100"/>
        <w:sz w:val="24"/>
      </w:rPr>
    </w:pPr>
    <w:r>
      <w:fldChar w:fldCharType="begin"/>
    </w:r>
    <w:r>
      <w:rPr>
        <w:rStyle w:val="16"/>
      </w:rPr>
      <w:instrText xml:space="preserve"> PAGE </w:instrText>
    </w:r>
    <w:r>
      <w:fldChar w:fldCharType="separate"/>
    </w:r>
    <w:r>
      <w:rPr>
        <w:rStyle w:val="16"/>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16</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 w:eastAsia="楷体"/>
      </w:rPr>
    </w:pPr>
    <w:r>
      <w:rPr>
        <w:rFonts w:hint="eastAsia" w:ascii="黑体" w:eastAsia="黑体"/>
        <w:sz w:val="21"/>
        <w:lang w:val="en-US" w:eastAsia="zh-CN"/>
      </w:rPr>
      <w:t>磋商</w:t>
    </w:r>
    <w:r>
      <w:rPr>
        <w:rFonts w:hint="eastAsia" w:ascii="黑体" w:eastAsia="黑体"/>
        <w:sz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E8059"/>
    <w:multiLevelType w:val="singleLevel"/>
    <w:tmpl w:val="BFFE8059"/>
    <w:lvl w:ilvl="0" w:tentative="0">
      <w:start w:val="1"/>
      <w:numFmt w:val="chineseCounting"/>
      <w:suff w:val="space"/>
      <w:lvlText w:val="第%1部分"/>
      <w:lvlJc w:val="left"/>
      <w:rPr>
        <w:rFonts w:hint="eastAsia"/>
      </w:rPr>
    </w:lvl>
  </w:abstractNum>
  <w:abstractNum w:abstractNumId="1">
    <w:nsid w:val="4B8998E6"/>
    <w:multiLevelType w:val="singleLevel"/>
    <w:tmpl w:val="4B8998E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17"/>
    <w:rsid w:val="000049BE"/>
    <w:rsid w:val="000E6017"/>
    <w:rsid w:val="001B223C"/>
    <w:rsid w:val="001C0525"/>
    <w:rsid w:val="001D7131"/>
    <w:rsid w:val="00266191"/>
    <w:rsid w:val="00297EE9"/>
    <w:rsid w:val="002A5574"/>
    <w:rsid w:val="002A7313"/>
    <w:rsid w:val="003437AF"/>
    <w:rsid w:val="003672B1"/>
    <w:rsid w:val="003745DB"/>
    <w:rsid w:val="00392C0E"/>
    <w:rsid w:val="00397A00"/>
    <w:rsid w:val="003B7C46"/>
    <w:rsid w:val="003E3399"/>
    <w:rsid w:val="004E1AC5"/>
    <w:rsid w:val="005A44E2"/>
    <w:rsid w:val="005A7D02"/>
    <w:rsid w:val="00682617"/>
    <w:rsid w:val="006E0E44"/>
    <w:rsid w:val="006E3B64"/>
    <w:rsid w:val="007319A7"/>
    <w:rsid w:val="00735B13"/>
    <w:rsid w:val="00760296"/>
    <w:rsid w:val="00782332"/>
    <w:rsid w:val="007B3C17"/>
    <w:rsid w:val="0089659B"/>
    <w:rsid w:val="008C765E"/>
    <w:rsid w:val="008E5986"/>
    <w:rsid w:val="0091440F"/>
    <w:rsid w:val="00914B57"/>
    <w:rsid w:val="0095084D"/>
    <w:rsid w:val="00953864"/>
    <w:rsid w:val="00954FEC"/>
    <w:rsid w:val="00960A82"/>
    <w:rsid w:val="009B3AAF"/>
    <w:rsid w:val="009C2F80"/>
    <w:rsid w:val="009D3C45"/>
    <w:rsid w:val="00A0504C"/>
    <w:rsid w:val="00A14019"/>
    <w:rsid w:val="00A6458E"/>
    <w:rsid w:val="00A70F16"/>
    <w:rsid w:val="00B32182"/>
    <w:rsid w:val="00BD3130"/>
    <w:rsid w:val="00BE75EF"/>
    <w:rsid w:val="00CF2A22"/>
    <w:rsid w:val="00D30F76"/>
    <w:rsid w:val="00DC58DD"/>
    <w:rsid w:val="00DE61B5"/>
    <w:rsid w:val="00ED6DEE"/>
    <w:rsid w:val="00EE7B52"/>
    <w:rsid w:val="00F11838"/>
    <w:rsid w:val="00F36B16"/>
    <w:rsid w:val="00F875BD"/>
    <w:rsid w:val="00FA6A12"/>
    <w:rsid w:val="00FA7BC9"/>
    <w:rsid w:val="00FD57B1"/>
    <w:rsid w:val="020D2A9E"/>
    <w:rsid w:val="027D1A84"/>
    <w:rsid w:val="035C5045"/>
    <w:rsid w:val="04743205"/>
    <w:rsid w:val="04902860"/>
    <w:rsid w:val="05DC2770"/>
    <w:rsid w:val="09DC47EA"/>
    <w:rsid w:val="0A5B2FBC"/>
    <w:rsid w:val="0B6D5EED"/>
    <w:rsid w:val="0DA67B72"/>
    <w:rsid w:val="0E2624D8"/>
    <w:rsid w:val="0EFC7E86"/>
    <w:rsid w:val="0FB70096"/>
    <w:rsid w:val="11D3791A"/>
    <w:rsid w:val="128B20F0"/>
    <w:rsid w:val="135F0704"/>
    <w:rsid w:val="13BD0A03"/>
    <w:rsid w:val="14E413C9"/>
    <w:rsid w:val="15336D13"/>
    <w:rsid w:val="18D764CD"/>
    <w:rsid w:val="19CD19FB"/>
    <w:rsid w:val="1A5E13BC"/>
    <w:rsid w:val="1B1851FE"/>
    <w:rsid w:val="1B5A4734"/>
    <w:rsid w:val="1BA6124F"/>
    <w:rsid w:val="1BBF0B21"/>
    <w:rsid w:val="1BEA3D7B"/>
    <w:rsid w:val="1D4C7288"/>
    <w:rsid w:val="1D6A097A"/>
    <w:rsid w:val="1F0643A9"/>
    <w:rsid w:val="207B66B3"/>
    <w:rsid w:val="20B85F9B"/>
    <w:rsid w:val="2135372C"/>
    <w:rsid w:val="22136EAB"/>
    <w:rsid w:val="223712D3"/>
    <w:rsid w:val="2328684B"/>
    <w:rsid w:val="237173DD"/>
    <w:rsid w:val="23A91E6F"/>
    <w:rsid w:val="24354389"/>
    <w:rsid w:val="24501FCF"/>
    <w:rsid w:val="24B00E9E"/>
    <w:rsid w:val="26E76B55"/>
    <w:rsid w:val="288C008F"/>
    <w:rsid w:val="2B153F47"/>
    <w:rsid w:val="2B4E7433"/>
    <w:rsid w:val="2BE07082"/>
    <w:rsid w:val="2C0E30CE"/>
    <w:rsid w:val="2F5C136D"/>
    <w:rsid w:val="31913CCE"/>
    <w:rsid w:val="32CA4A34"/>
    <w:rsid w:val="33275669"/>
    <w:rsid w:val="333C242D"/>
    <w:rsid w:val="34380AE5"/>
    <w:rsid w:val="357C060D"/>
    <w:rsid w:val="35CA7F73"/>
    <w:rsid w:val="3A18029B"/>
    <w:rsid w:val="3ABA415E"/>
    <w:rsid w:val="3ABB2EBC"/>
    <w:rsid w:val="3BE41C96"/>
    <w:rsid w:val="3DE952A0"/>
    <w:rsid w:val="3E320A68"/>
    <w:rsid w:val="3FCE7F1A"/>
    <w:rsid w:val="42044258"/>
    <w:rsid w:val="42FB3958"/>
    <w:rsid w:val="44DA6C67"/>
    <w:rsid w:val="45F440B0"/>
    <w:rsid w:val="48CA2286"/>
    <w:rsid w:val="4B49132E"/>
    <w:rsid w:val="4C64739B"/>
    <w:rsid w:val="4FB37A14"/>
    <w:rsid w:val="56490103"/>
    <w:rsid w:val="56601766"/>
    <w:rsid w:val="578F68B7"/>
    <w:rsid w:val="59291DA6"/>
    <w:rsid w:val="5DC804A2"/>
    <w:rsid w:val="5F410ED7"/>
    <w:rsid w:val="62834A0F"/>
    <w:rsid w:val="654B10AA"/>
    <w:rsid w:val="661D299D"/>
    <w:rsid w:val="662055AC"/>
    <w:rsid w:val="68746423"/>
    <w:rsid w:val="6A784987"/>
    <w:rsid w:val="6CE26173"/>
    <w:rsid w:val="6DDD01C7"/>
    <w:rsid w:val="6FB42196"/>
    <w:rsid w:val="72476EEA"/>
    <w:rsid w:val="7506626A"/>
    <w:rsid w:val="7E1A753F"/>
    <w:rsid w:val="7FFA2720"/>
    <w:rsid w:val="9FEE9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pPr>
      <w:spacing w:after="120"/>
    </w:pPr>
  </w:style>
  <w:style w:type="paragraph" w:styleId="6">
    <w:name w:val="Normal Indent"/>
    <w:basedOn w:val="1"/>
    <w:qFormat/>
    <w:uiPriority w:val="0"/>
    <w:pPr>
      <w:ind w:firstLine="420" w:firstLineChars="200"/>
    </w:p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9118"/>
      </w:tabs>
      <w:jc w:val="center"/>
    </w:pPr>
    <w:rPr>
      <w:rFonts w:ascii="仿宋_GB2312" w:hAnsi="宋体" w:eastAsia="仿宋_GB2312"/>
      <w:b/>
      <w:color w:val="FF0000"/>
    </w:rPr>
  </w:style>
  <w:style w:type="paragraph" w:styleId="10">
    <w:name w:val="Body Text 2"/>
    <w:basedOn w:val="1"/>
    <w:link w:val="20"/>
    <w:qFormat/>
    <w:uiPriority w:val="0"/>
    <w:pPr>
      <w:spacing w:after="120" w:line="480" w:lineRule="auto"/>
    </w:pPr>
  </w:style>
  <w:style w:type="paragraph" w:styleId="11">
    <w:name w:val="index 1"/>
    <w:basedOn w:val="1"/>
    <w:next w:val="1"/>
    <w:semiHidden/>
    <w:unhideWhenUsed/>
    <w:qFormat/>
    <w:uiPriority w:val="99"/>
  </w:style>
  <w:style w:type="paragraph" w:styleId="12">
    <w:name w:val="Body Text First Indent"/>
    <w:basedOn w:val="2"/>
    <w:qFormat/>
    <w:uiPriority w:val="99"/>
    <w:pPr>
      <w:ind w:firstLine="420" w:firstLineChars="100"/>
    </w:pPr>
  </w:style>
  <w:style w:type="table" w:styleId="14">
    <w:name w:val="Table Grid"/>
    <w:basedOn w:val="1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正文文本 Char"/>
    <w:basedOn w:val="15"/>
    <w:link w:val="2"/>
    <w:qFormat/>
    <w:uiPriority w:val="0"/>
    <w:rPr>
      <w:rFonts w:ascii="Times New Roman" w:hAnsi="Times New Roman" w:eastAsia="宋体" w:cs="Times New Roman"/>
      <w:sz w:val="28"/>
      <w:szCs w:val="28"/>
    </w:rPr>
  </w:style>
  <w:style w:type="character" w:customStyle="1" w:styleId="18">
    <w:name w:val="页脚 Char"/>
    <w:basedOn w:val="15"/>
    <w:link w:val="7"/>
    <w:qFormat/>
    <w:uiPriority w:val="0"/>
    <w:rPr>
      <w:rFonts w:ascii="Times New Roman" w:hAnsi="Times New Roman" w:eastAsia="宋体" w:cs="Times New Roman"/>
      <w:sz w:val="18"/>
      <w:szCs w:val="18"/>
    </w:rPr>
  </w:style>
  <w:style w:type="character" w:customStyle="1" w:styleId="19">
    <w:name w:val="页眉 Char"/>
    <w:basedOn w:val="15"/>
    <w:link w:val="8"/>
    <w:qFormat/>
    <w:uiPriority w:val="0"/>
    <w:rPr>
      <w:rFonts w:ascii="Times New Roman" w:hAnsi="Times New Roman" w:eastAsia="宋体" w:cs="Times New Roman"/>
      <w:sz w:val="18"/>
      <w:szCs w:val="18"/>
    </w:rPr>
  </w:style>
  <w:style w:type="character" w:customStyle="1" w:styleId="20">
    <w:name w:val="正文文本 2 Char"/>
    <w:basedOn w:val="15"/>
    <w:link w:val="10"/>
    <w:qFormat/>
    <w:uiPriority w:val="0"/>
    <w:rPr>
      <w:rFonts w:ascii="Times New Roman" w:hAnsi="Times New Roman" w:eastAsia="宋体" w:cs="Times New Roman"/>
      <w:sz w:val="28"/>
      <w:szCs w:val="28"/>
    </w:rPr>
  </w:style>
  <w:style w:type="paragraph" w:customStyle="1" w:styleId="21">
    <w:name w:val="CD正文"/>
    <w:basedOn w:val="1"/>
    <w:qFormat/>
    <w:uiPriority w:val="0"/>
    <w:pPr>
      <w:spacing w:line="360" w:lineRule="auto"/>
      <w:ind w:firstLine="493"/>
      <w:jc w:val="left"/>
    </w:pPr>
    <w:rPr>
      <w:rFonts w:ascii="Calibri" w:hAnsi="Calibri"/>
      <w:sz w:val="30"/>
    </w:rPr>
  </w:style>
  <w:style w:type="paragraph" w:customStyle="1" w:styleId="22">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rPr>
      <w:rFonts w:ascii="宋体"/>
      <w:kern w:val="0"/>
      <w:sz w:val="34"/>
      <w:szCs w:val="20"/>
    </w:rPr>
  </w:style>
  <w:style w:type="character" w:customStyle="1" w:styleId="25">
    <w:name w:val="标题 1 Char"/>
    <w:link w:val="4"/>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4606</Words>
  <Characters>4742</Characters>
  <Lines>29</Lines>
  <Paragraphs>8</Paragraphs>
  <TotalTime>2</TotalTime>
  <ScaleCrop>false</ScaleCrop>
  <LinksUpToDate>false</LinksUpToDate>
  <CharactersWithSpaces>4852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2022-08-17T12:32:00Z</dcterms:created>
  <dc:creator>admin</dc:creator>
  <cp:lastModifiedBy>AOC</cp:lastModifiedBy>
  <dcterms:modified xsi:type="dcterms:W3CDTF">2025-08-18T07:02:45Z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TemplateDocerSaveRecord">
    <vt:lpwstr>eyJoZGlkIjoiYTM3MmExZGE5ZjVjZWViYWUxYzcwZjg0ZGU4MWUwZTEiLCJ1c2VySWQiOiI0MTE5MDQ0NzAifQ==</vt:lpwstr>
  </property>
  <property fmtid="{D5CDD505-2E9C-101B-9397-08002B2CF9AE}" pid="4" name="ICV">
    <vt:lpwstr>C2A1AB5E1E144ADCAC7DF7DC57C89248_12</vt:lpwstr>
  </property>
</Properties>
</file>